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49" w:rsidRPr="002412FA" w:rsidRDefault="0069164F" w:rsidP="002412F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NOTES ON </w:t>
      </w:r>
      <w:r w:rsidR="002412FA" w:rsidRPr="002412FA">
        <w:rPr>
          <w:b/>
        </w:rPr>
        <w:t>AGRICULTURE EXTEN</w:t>
      </w:r>
      <w:r w:rsidR="0078225E">
        <w:rPr>
          <w:b/>
        </w:rPr>
        <w:t xml:space="preserve">SION POLICIES IN GHANA </w:t>
      </w:r>
      <w:r w:rsidR="00B469F0">
        <w:rPr>
          <w:b/>
        </w:rPr>
        <w:t>AND BANGLADESH</w:t>
      </w:r>
    </w:p>
    <w:p w:rsidR="002412FA" w:rsidRDefault="002412FA" w:rsidP="002412FA">
      <w:pPr>
        <w:jc w:val="center"/>
      </w:pPr>
    </w:p>
    <w:p w:rsidR="002412FA" w:rsidRDefault="002412FA" w:rsidP="002412FA">
      <w:pPr>
        <w:jc w:val="center"/>
      </w:pPr>
      <w:r>
        <w:t>Vickie Sigman, International Agriculture and Extension Education Specialist</w:t>
      </w:r>
    </w:p>
    <w:p w:rsidR="002412FA" w:rsidRDefault="002412FA" w:rsidP="002412FA">
      <w:pPr>
        <w:jc w:val="center"/>
      </w:pPr>
      <w:r>
        <w:t>University of Illinois Consultant to Modernizing Extension and Advisory Services (MEAS)</w:t>
      </w:r>
    </w:p>
    <w:p w:rsidR="002412FA" w:rsidRDefault="002412FA" w:rsidP="002412FA">
      <w:pPr>
        <w:jc w:val="center"/>
      </w:pPr>
      <w:r>
        <w:t>June</w:t>
      </w:r>
      <w:r w:rsidR="00B469F0">
        <w:t xml:space="preserve"> 18</w:t>
      </w:r>
      <w:r w:rsidR="00B14547">
        <w:t>,</w:t>
      </w:r>
      <w:r>
        <w:t xml:space="preserve"> 2012</w:t>
      </w:r>
    </w:p>
    <w:p w:rsidR="002412FA" w:rsidRPr="0033717A" w:rsidRDefault="002412FA" w:rsidP="002412FA">
      <w:pPr>
        <w:jc w:val="center"/>
        <w:rPr>
          <w:b/>
        </w:rPr>
      </w:pPr>
    </w:p>
    <w:p w:rsidR="0033717A" w:rsidRPr="0033717A" w:rsidRDefault="0033717A" w:rsidP="002412FA">
      <w:pPr>
        <w:rPr>
          <w:b/>
        </w:rPr>
      </w:pPr>
      <w:r w:rsidRPr="0033717A">
        <w:rPr>
          <w:b/>
        </w:rPr>
        <w:t>1.</w:t>
      </w:r>
      <w:r w:rsidRPr="0033717A">
        <w:rPr>
          <w:b/>
        </w:rPr>
        <w:tab/>
      </w:r>
      <w:r>
        <w:rPr>
          <w:b/>
        </w:rPr>
        <w:t>PURPOSE</w:t>
      </w:r>
      <w:r w:rsidR="00B14547">
        <w:rPr>
          <w:b/>
        </w:rPr>
        <w:t xml:space="preserve"> OF TODAY’S REVIEW/DISCUSSION</w:t>
      </w:r>
    </w:p>
    <w:p w:rsidR="0033717A" w:rsidRDefault="002412FA" w:rsidP="002412FA">
      <w:r>
        <w:t xml:space="preserve"> </w:t>
      </w:r>
    </w:p>
    <w:p w:rsidR="008A13FF" w:rsidRDefault="0033717A" w:rsidP="002412FA">
      <w:pPr>
        <w:rPr>
          <w:sz w:val="24"/>
          <w:szCs w:val="24"/>
        </w:rPr>
      </w:pPr>
      <w:r>
        <w:tab/>
      </w:r>
      <w:r w:rsidR="002412FA">
        <w:t xml:space="preserve">As part of SOW, </w:t>
      </w:r>
      <w:r>
        <w:rPr>
          <w:sz w:val="24"/>
          <w:szCs w:val="24"/>
        </w:rPr>
        <w:t>i</w:t>
      </w:r>
      <w:r w:rsidR="002412FA" w:rsidRPr="003C30C1">
        <w:rPr>
          <w:sz w:val="24"/>
          <w:szCs w:val="24"/>
        </w:rPr>
        <w:t>dentify and review at least three examples of existing agricultural extension policy documents</w:t>
      </w:r>
      <w:r w:rsidR="002412FA" w:rsidRPr="00B95F56">
        <w:rPr>
          <w:sz w:val="24"/>
          <w:szCs w:val="24"/>
        </w:rPr>
        <w:t xml:space="preserve"> from other countries in Africa and consult with experts who have been involved in prepar</w:t>
      </w:r>
      <w:r w:rsidR="002412FA">
        <w:rPr>
          <w:sz w:val="24"/>
          <w:szCs w:val="24"/>
        </w:rPr>
        <w:t xml:space="preserve">ing those </w:t>
      </w:r>
      <w:r w:rsidR="002412FA" w:rsidRPr="00B95F56">
        <w:rPr>
          <w:sz w:val="24"/>
          <w:szCs w:val="24"/>
        </w:rPr>
        <w:t>documents.</w:t>
      </w:r>
      <w:r w:rsidR="003760A6">
        <w:rPr>
          <w:sz w:val="24"/>
          <w:szCs w:val="24"/>
        </w:rPr>
        <w:t xml:space="preserve">  Although Bangladesh is not in Africa, its policy is selected for review because follow-up studies provide useful lessons learned and weaknesses of the policy which can be used to inform Liberia’s policy.</w:t>
      </w:r>
    </w:p>
    <w:p w:rsidR="0069164F" w:rsidRDefault="0069164F" w:rsidP="002412FA">
      <w:pPr>
        <w:rPr>
          <w:sz w:val="24"/>
          <w:szCs w:val="24"/>
        </w:rPr>
      </w:pPr>
    </w:p>
    <w:p w:rsidR="0033717A" w:rsidRPr="0033717A" w:rsidRDefault="0033717A" w:rsidP="002412FA">
      <w:pPr>
        <w:rPr>
          <w:b/>
          <w:sz w:val="24"/>
          <w:szCs w:val="24"/>
        </w:rPr>
      </w:pPr>
      <w:r w:rsidRPr="0033717A">
        <w:rPr>
          <w:b/>
          <w:sz w:val="24"/>
          <w:szCs w:val="24"/>
        </w:rPr>
        <w:t>2.</w:t>
      </w:r>
      <w:r w:rsidRPr="0033717A">
        <w:rPr>
          <w:b/>
          <w:sz w:val="24"/>
          <w:szCs w:val="24"/>
        </w:rPr>
        <w:tab/>
      </w:r>
      <w:r w:rsidR="003760A6">
        <w:rPr>
          <w:b/>
          <w:sz w:val="24"/>
          <w:szCs w:val="24"/>
        </w:rPr>
        <w:t xml:space="preserve">REVIEW:  </w:t>
      </w:r>
      <w:r w:rsidRPr="0033717A">
        <w:rPr>
          <w:b/>
          <w:sz w:val="24"/>
          <w:szCs w:val="24"/>
        </w:rPr>
        <w:t>WHAT IS POLICY?</w:t>
      </w:r>
    </w:p>
    <w:p w:rsidR="0069164F" w:rsidRDefault="0069164F" w:rsidP="002412F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9164F" w:rsidRPr="0069164F" w:rsidRDefault="0069164F" w:rsidP="006916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policy is a formal statement of a principle or rule that members of an organization must follow.  Policies address issues important to the organization’s mission or operations.</w:t>
      </w:r>
    </w:p>
    <w:p w:rsidR="0069164F" w:rsidRPr="0069164F" w:rsidRDefault="0069164F" w:rsidP="006916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164F">
        <w:rPr>
          <w:sz w:val="24"/>
          <w:szCs w:val="24"/>
        </w:rPr>
        <w:t>At its most basic, policy is “a course or principle of action, adopted or proposed by a government, party, business or individual” (</w:t>
      </w:r>
      <w:r w:rsidRPr="0069164F">
        <w:rPr>
          <w:i/>
          <w:sz w:val="24"/>
          <w:szCs w:val="24"/>
        </w:rPr>
        <w:t>Australian Concise Oxford Dictionary</w:t>
      </w:r>
      <w:r w:rsidRPr="0069164F">
        <w:rPr>
          <w:sz w:val="24"/>
          <w:szCs w:val="24"/>
        </w:rPr>
        <w:t xml:space="preserve">).  Common to most policies:  </w:t>
      </w:r>
    </w:p>
    <w:p w:rsidR="0069164F" w:rsidRDefault="0069164F" w:rsidP="0069164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9164F">
        <w:rPr>
          <w:sz w:val="24"/>
          <w:szCs w:val="24"/>
        </w:rPr>
        <w:t xml:space="preserve">state matters of principle; </w:t>
      </w:r>
    </w:p>
    <w:p w:rsidR="0069164F" w:rsidRDefault="0069164F" w:rsidP="0069164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9164F">
        <w:rPr>
          <w:sz w:val="24"/>
          <w:szCs w:val="24"/>
        </w:rPr>
        <w:t xml:space="preserve">focus on action, identifying what is to be done and by whom; </w:t>
      </w:r>
    </w:p>
    <w:p w:rsidR="0069164F" w:rsidRDefault="0069164F" w:rsidP="0069164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</w:t>
      </w:r>
      <w:r w:rsidRPr="0069164F">
        <w:rPr>
          <w:sz w:val="24"/>
          <w:szCs w:val="24"/>
        </w:rPr>
        <w:t xml:space="preserve"> an authoritative statement, made by a person or body with power to do so; </w:t>
      </w:r>
      <w:r>
        <w:rPr>
          <w:sz w:val="24"/>
          <w:szCs w:val="24"/>
        </w:rPr>
        <w:t>and</w:t>
      </w:r>
    </w:p>
    <w:p w:rsidR="0069164F" w:rsidRDefault="0069164F" w:rsidP="0069164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are a </w:t>
      </w:r>
      <w:r w:rsidRPr="0069164F">
        <w:rPr>
          <w:sz w:val="24"/>
          <w:szCs w:val="24"/>
        </w:rPr>
        <w:t>tool which makes administration easier, and allows people to get the core business work of the organization done more efficiently and effectively.</w:t>
      </w:r>
    </w:p>
    <w:p w:rsidR="0069164F" w:rsidRDefault="0069164F" w:rsidP="0069164F">
      <w:pPr>
        <w:rPr>
          <w:sz w:val="24"/>
          <w:szCs w:val="24"/>
        </w:rPr>
      </w:pPr>
    </w:p>
    <w:p w:rsidR="002412FA" w:rsidRDefault="00B469F0" w:rsidP="002412FA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3717A">
        <w:rPr>
          <w:b/>
          <w:sz w:val="24"/>
          <w:szCs w:val="24"/>
        </w:rPr>
        <w:t>.</w:t>
      </w:r>
      <w:r w:rsidR="0033717A">
        <w:rPr>
          <w:b/>
          <w:sz w:val="24"/>
          <w:szCs w:val="24"/>
        </w:rPr>
        <w:tab/>
        <w:t>ANALYTICAL FRAMEWO</w:t>
      </w:r>
      <w:r>
        <w:rPr>
          <w:b/>
          <w:sz w:val="24"/>
          <w:szCs w:val="24"/>
        </w:rPr>
        <w:t xml:space="preserve">RK FOR REVIEW OF THE </w:t>
      </w:r>
      <w:r w:rsidR="0033717A">
        <w:rPr>
          <w:b/>
          <w:sz w:val="24"/>
          <w:szCs w:val="24"/>
        </w:rPr>
        <w:t>POLICIES</w:t>
      </w:r>
    </w:p>
    <w:p w:rsidR="003760A6" w:rsidRDefault="003760A6" w:rsidP="002412FA">
      <w:pPr>
        <w:rPr>
          <w:b/>
          <w:sz w:val="24"/>
          <w:szCs w:val="24"/>
        </w:rPr>
      </w:pPr>
    </w:p>
    <w:p w:rsidR="00361600" w:rsidRDefault="00361600" w:rsidP="0036160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Country</w:t>
      </w:r>
    </w:p>
    <w:p w:rsidR="00361600" w:rsidRDefault="00361600" w:rsidP="0036160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Policy Date</w:t>
      </w:r>
    </w:p>
    <w:p w:rsidR="00361600" w:rsidRDefault="00361600" w:rsidP="0036160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Policy Title</w:t>
      </w:r>
    </w:p>
    <w:p w:rsidR="00361600" w:rsidRDefault="00361600" w:rsidP="0036160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Total Pages </w:t>
      </w:r>
    </w:p>
    <w:p w:rsidR="00361600" w:rsidRDefault="00361600" w:rsidP="0036160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Process of Development of Policy</w:t>
      </w:r>
    </w:p>
    <w:p w:rsidR="00361600" w:rsidRDefault="00361600" w:rsidP="0036160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Table of Contents</w:t>
      </w:r>
    </w:p>
    <w:p w:rsidR="00361600" w:rsidRDefault="00361600" w:rsidP="0036160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Game Changing Context</w:t>
      </w:r>
    </w:p>
    <w:p w:rsidR="00361600" w:rsidRDefault="00361600" w:rsidP="0036160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General Approach</w:t>
      </w:r>
    </w:p>
    <w:p w:rsidR="00361600" w:rsidRDefault="00361600" w:rsidP="0036160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Mission Statement</w:t>
      </w:r>
    </w:p>
    <w:p w:rsidR="00361600" w:rsidRDefault="00361600" w:rsidP="0036160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Major Policy Issues Articulated</w:t>
      </w:r>
    </w:p>
    <w:p w:rsidR="00361600" w:rsidRPr="009F2710" w:rsidRDefault="00361600" w:rsidP="0036160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Follow-up Studies on Policies and Current Status</w:t>
      </w:r>
    </w:p>
    <w:p w:rsidR="00361600" w:rsidRDefault="00361600" w:rsidP="0036160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Reviewer and Others’ Comments</w:t>
      </w:r>
    </w:p>
    <w:p w:rsidR="00210624" w:rsidRPr="00F0563C" w:rsidRDefault="00210624" w:rsidP="00F0563C">
      <w:pPr>
        <w:pStyle w:val="ListParagraph"/>
        <w:tabs>
          <w:tab w:val="left" w:pos="1440"/>
        </w:tabs>
        <w:ind w:left="1440"/>
        <w:rPr>
          <w:sz w:val="24"/>
          <w:szCs w:val="24"/>
        </w:rPr>
      </w:pPr>
      <w:r w:rsidRPr="00F0563C">
        <w:rPr>
          <w:sz w:val="24"/>
          <w:szCs w:val="24"/>
        </w:rPr>
        <w:br w:type="page"/>
      </w:r>
    </w:p>
    <w:p w:rsidR="00210624" w:rsidRDefault="00B469F0" w:rsidP="0021062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REVIEW OF GHANA’S</w:t>
      </w:r>
      <w:r w:rsidR="00210624" w:rsidRPr="00210624">
        <w:rPr>
          <w:b/>
          <w:sz w:val="24"/>
          <w:szCs w:val="24"/>
        </w:rPr>
        <w:t xml:space="preserve"> NATIONAL AGRICULTURE EXTENSION POLICY</w:t>
      </w:r>
    </w:p>
    <w:p w:rsidR="00210624" w:rsidRDefault="00210624" w:rsidP="00210624">
      <w:pPr>
        <w:rPr>
          <w:b/>
          <w:sz w:val="24"/>
          <w:szCs w:val="24"/>
        </w:rPr>
      </w:pPr>
    </w:p>
    <w:p w:rsidR="00210624" w:rsidRDefault="00D61649" w:rsidP="00210624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Country:  Ghana</w:t>
      </w:r>
    </w:p>
    <w:p w:rsidR="00210624" w:rsidRDefault="00210624" w:rsidP="00210624">
      <w:pPr>
        <w:pStyle w:val="ListParagraph"/>
        <w:ind w:left="360"/>
        <w:rPr>
          <w:sz w:val="24"/>
          <w:szCs w:val="24"/>
        </w:rPr>
      </w:pPr>
    </w:p>
    <w:p w:rsidR="00210624" w:rsidRDefault="00D61649" w:rsidP="00210624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Policy Date:  April 2001</w:t>
      </w:r>
    </w:p>
    <w:p w:rsidR="00210624" w:rsidRDefault="00210624" w:rsidP="00210624">
      <w:pPr>
        <w:pStyle w:val="ListParagraph"/>
        <w:ind w:left="360"/>
        <w:rPr>
          <w:sz w:val="24"/>
          <w:szCs w:val="24"/>
        </w:rPr>
      </w:pPr>
    </w:p>
    <w:p w:rsidR="00210624" w:rsidRDefault="00210624" w:rsidP="00210624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Policy</w:t>
      </w:r>
      <w:r w:rsidR="00D61649">
        <w:rPr>
          <w:sz w:val="24"/>
          <w:szCs w:val="24"/>
        </w:rPr>
        <w:t xml:space="preserve"> Title:  Agricultural Extension Policy (Final Draft)</w:t>
      </w:r>
    </w:p>
    <w:p w:rsidR="00210624" w:rsidRDefault="00210624" w:rsidP="00210624">
      <w:pPr>
        <w:pStyle w:val="ListParagraph"/>
        <w:ind w:left="360"/>
        <w:rPr>
          <w:sz w:val="24"/>
          <w:szCs w:val="24"/>
        </w:rPr>
      </w:pPr>
    </w:p>
    <w:p w:rsidR="00210624" w:rsidRDefault="00D61649" w:rsidP="00210624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Total Pages:  25</w:t>
      </w:r>
      <w:r w:rsidR="00210624">
        <w:rPr>
          <w:sz w:val="24"/>
          <w:szCs w:val="24"/>
        </w:rPr>
        <w:t xml:space="preserve"> </w:t>
      </w:r>
    </w:p>
    <w:p w:rsidR="00210624" w:rsidRDefault="00210624" w:rsidP="00210624">
      <w:pPr>
        <w:pStyle w:val="ListParagraph"/>
        <w:ind w:left="360"/>
        <w:rPr>
          <w:sz w:val="24"/>
          <w:szCs w:val="24"/>
        </w:rPr>
      </w:pPr>
    </w:p>
    <w:p w:rsidR="003760A6" w:rsidRDefault="00210624" w:rsidP="00210624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D61649">
        <w:rPr>
          <w:sz w:val="24"/>
          <w:szCs w:val="24"/>
        </w:rPr>
        <w:t xml:space="preserve">Development of Policy Process:  </w:t>
      </w:r>
      <w:r w:rsidR="00D61649">
        <w:rPr>
          <w:sz w:val="24"/>
          <w:szCs w:val="24"/>
        </w:rPr>
        <w:t xml:space="preserve">Draft prepared by consultant in consultation with Directorate of Agricultural Extension Services.  Draft subjected to Regional consultation, working group sessions, and a national consultative workshop.  Consultations with </w:t>
      </w:r>
      <w:r w:rsidR="00341CF3">
        <w:rPr>
          <w:sz w:val="24"/>
          <w:szCs w:val="24"/>
        </w:rPr>
        <w:t xml:space="preserve">public sector </w:t>
      </w:r>
      <w:r w:rsidR="00D61649">
        <w:rPr>
          <w:sz w:val="24"/>
          <w:szCs w:val="24"/>
        </w:rPr>
        <w:t>Ministries of F</w:t>
      </w:r>
      <w:r w:rsidR="007D4491">
        <w:rPr>
          <w:sz w:val="24"/>
          <w:szCs w:val="24"/>
        </w:rPr>
        <w:t>ood &amp; Agriculture (MOFA) and of Local Government and Rural Development (MLGRD)</w:t>
      </w:r>
      <w:r w:rsidR="00341CF3">
        <w:rPr>
          <w:sz w:val="24"/>
          <w:szCs w:val="24"/>
        </w:rPr>
        <w:t>,</w:t>
      </w:r>
      <w:r w:rsidR="00D61649">
        <w:rPr>
          <w:sz w:val="24"/>
          <w:szCs w:val="24"/>
        </w:rPr>
        <w:t xml:space="preserve"> Department of Cooperatives, District Agricultural Sub-Committees;</w:t>
      </w:r>
      <w:r w:rsidR="00341CF3">
        <w:rPr>
          <w:sz w:val="24"/>
          <w:szCs w:val="24"/>
        </w:rPr>
        <w:t xml:space="preserve"> private companies; NGOs; and donors.</w:t>
      </w:r>
      <w:r w:rsidR="00D61649">
        <w:rPr>
          <w:sz w:val="24"/>
          <w:szCs w:val="24"/>
        </w:rPr>
        <w:t xml:space="preserve"> </w:t>
      </w:r>
    </w:p>
    <w:p w:rsidR="00210624" w:rsidRPr="00D61649" w:rsidRDefault="00D61649" w:rsidP="003760A6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0624" w:rsidRDefault="00210624" w:rsidP="00210624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D61649">
        <w:rPr>
          <w:sz w:val="24"/>
          <w:szCs w:val="24"/>
        </w:rPr>
        <w:t>T</w:t>
      </w:r>
      <w:r>
        <w:rPr>
          <w:sz w:val="24"/>
          <w:szCs w:val="24"/>
        </w:rPr>
        <w:t>able of Contents</w:t>
      </w:r>
    </w:p>
    <w:p w:rsidR="00210624" w:rsidRDefault="00341CF3" w:rsidP="0021062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Acronyms</w:t>
      </w:r>
    </w:p>
    <w:p w:rsidR="00210624" w:rsidRPr="00341CF3" w:rsidRDefault="00210624" w:rsidP="00341CF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Preface</w:t>
      </w:r>
    </w:p>
    <w:p w:rsidR="00210624" w:rsidRDefault="00210624" w:rsidP="0021062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Introduction</w:t>
      </w:r>
    </w:p>
    <w:p w:rsidR="00210624" w:rsidRDefault="00341CF3" w:rsidP="0021062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General </w:t>
      </w:r>
      <w:r w:rsidR="00210624">
        <w:rPr>
          <w:sz w:val="24"/>
          <w:szCs w:val="24"/>
        </w:rPr>
        <w:t>Background</w:t>
      </w:r>
    </w:p>
    <w:p w:rsidR="00210624" w:rsidRDefault="00341CF3" w:rsidP="0021062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Agriculture Extension in Ghana (history, R&amp;E linkages, COCOBOD-MOFA merger, decentralization, role of private sector/NGOs in extension delivery)</w:t>
      </w:r>
    </w:p>
    <w:p w:rsidR="00341CF3" w:rsidRDefault="00341CF3" w:rsidP="0021062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New Extension Policy (need, vision, mission statement, guiding principles, objectives and strategies)</w:t>
      </w:r>
    </w:p>
    <w:p w:rsidR="00341CF3" w:rsidRDefault="00341CF3" w:rsidP="0021062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Institutional and Financial Implications (agriculture extension development fund)</w:t>
      </w:r>
    </w:p>
    <w:p w:rsidR="00341CF3" w:rsidRDefault="00341CF3" w:rsidP="0021062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Appendices (structure and performance of agriculture sector; MOFA organogram; main roles of selected categories of extension staff)</w:t>
      </w:r>
    </w:p>
    <w:p w:rsidR="00E024C7" w:rsidRDefault="00E024C7" w:rsidP="00F0563C">
      <w:pPr>
        <w:pStyle w:val="ListParagraph"/>
        <w:ind w:left="2160"/>
        <w:rPr>
          <w:sz w:val="24"/>
          <w:szCs w:val="24"/>
        </w:rPr>
      </w:pPr>
    </w:p>
    <w:p w:rsidR="00E024C7" w:rsidRDefault="002A6BF2" w:rsidP="00E024C7">
      <w:pPr>
        <w:pStyle w:val="ListParagraph"/>
        <w:numPr>
          <w:ilvl w:val="0"/>
          <w:numId w:val="7"/>
        </w:numPr>
        <w:ind w:left="450" w:hanging="450"/>
        <w:rPr>
          <w:sz w:val="24"/>
          <w:szCs w:val="24"/>
        </w:rPr>
      </w:pPr>
      <w:r>
        <w:rPr>
          <w:sz w:val="24"/>
          <w:szCs w:val="24"/>
        </w:rPr>
        <w:t>Game Changing Context</w:t>
      </w:r>
      <w:r w:rsidR="007D4491">
        <w:rPr>
          <w:sz w:val="24"/>
          <w:szCs w:val="24"/>
        </w:rPr>
        <w:t xml:space="preserve">:  </w:t>
      </w:r>
      <w:r w:rsidR="005D27FA">
        <w:rPr>
          <w:sz w:val="24"/>
          <w:szCs w:val="24"/>
        </w:rPr>
        <w:t>Ghana was moving from commodity-based extension, T&amp;V extension</w:t>
      </w:r>
      <w:r w:rsidR="007E0012">
        <w:rPr>
          <w:sz w:val="24"/>
          <w:szCs w:val="24"/>
        </w:rPr>
        <w:t xml:space="preserve"> (1990’s)</w:t>
      </w:r>
      <w:r w:rsidR="005D27FA">
        <w:rPr>
          <w:sz w:val="24"/>
          <w:szCs w:val="24"/>
        </w:rPr>
        <w:t xml:space="preserve"> to a decentralized system</w:t>
      </w:r>
      <w:r w:rsidR="007D4491">
        <w:rPr>
          <w:sz w:val="24"/>
          <w:szCs w:val="24"/>
        </w:rPr>
        <w:t xml:space="preserve"> (late 1990’s)</w:t>
      </w:r>
      <w:r w:rsidR="005D27FA">
        <w:rPr>
          <w:sz w:val="24"/>
          <w:szCs w:val="24"/>
        </w:rPr>
        <w:t xml:space="preserve">.  </w:t>
      </w:r>
      <w:r w:rsidR="007E0012">
        <w:rPr>
          <w:sz w:val="24"/>
          <w:szCs w:val="24"/>
        </w:rPr>
        <w:t xml:space="preserve">1990’s saw a withdrawal of MOFA from the procurement and distribution of agricultural inputs, including credit.  Late 1990’s, </w:t>
      </w:r>
      <w:r w:rsidR="003760A6">
        <w:rPr>
          <w:sz w:val="24"/>
          <w:szCs w:val="24"/>
        </w:rPr>
        <w:t>p</w:t>
      </w:r>
      <w:r w:rsidR="005D27FA">
        <w:rPr>
          <w:sz w:val="24"/>
          <w:szCs w:val="24"/>
        </w:rPr>
        <w:t>ublic sector extension funding was shrinking, there was low field staff to farmer ratio, and too great a dependence on donor funding.  The private sector</w:t>
      </w:r>
      <w:r w:rsidR="00C8284C">
        <w:rPr>
          <w:sz w:val="24"/>
          <w:szCs w:val="24"/>
        </w:rPr>
        <w:t xml:space="preserve"> (producer organizations, buyers, processors, export companies; particularly in high-value tree crops, cotton, pineapple, vegetables with cost recovery for service through service charges deducted from payments to farmers at the time of sale)</w:t>
      </w:r>
      <w:r w:rsidR="005D27FA">
        <w:rPr>
          <w:sz w:val="24"/>
          <w:szCs w:val="24"/>
        </w:rPr>
        <w:t xml:space="preserve"> was becoming increasingly involved in EAS.  </w:t>
      </w:r>
      <w:r w:rsidR="00BD05D9">
        <w:rPr>
          <w:sz w:val="24"/>
          <w:szCs w:val="24"/>
        </w:rPr>
        <w:t xml:space="preserve">Other emerging issues such as the HIV/AIDS pandemic, environmental degradation, and poverty reduction needed to be addressed by extension.  </w:t>
      </w:r>
      <w:r w:rsidR="007D4491">
        <w:rPr>
          <w:sz w:val="24"/>
          <w:szCs w:val="24"/>
        </w:rPr>
        <w:t xml:space="preserve">In 1998, cocoa extension was unified under MOFA (moved from COCOBOD, Ghana Cocoa Board).  Since cocoa extension was largely provided by private cocoa purchasing companies, there was </w:t>
      </w:r>
      <w:r w:rsidR="007D4491">
        <w:rPr>
          <w:sz w:val="24"/>
          <w:szCs w:val="24"/>
        </w:rPr>
        <w:lastRenderedPageBreak/>
        <w:t xml:space="preserve">need to establish working relationships between public/private providers.  </w:t>
      </w:r>
      <w:r w:rsidR="00BD05D9">
        <w:rPr>
          <w:sz w:val="24"/>
          <w:szCs w:val="24"/>
        </w:rPr>
        <w:t>Collectively these factors called for a new extension policy to guide extension delivery in the face of changes in Ghana’s political economy.</w:t>
      </w:r>
      <w:r w:rsidR="007E0012">
        <w:rPr>
          <w:sz w:val="24"/>
          <w:szCs w:val="24"/>
        </w:rPr>
        <w:t xml:space="preserve">  </w:t>
      </w:r>
      <w:r w:rsidR="00C8284C">
        <w:rPr>
          <w:sz w:val="24"/>
          <w:szCs w:val="24"/>
        </w:rPr>
        <w:t xml:space="preserve">With decentralization, responsibility for extension service provision moved from central to local government.  </w:t>
      </w:r>
      <w:r w:rsidR="007E0012">
        <w:rPr>
          <w:sz w:val="24"/>
          <w:szCs w:val="24"/>
        </w:rPr>
        <w:t xml:space="preserve">Role of extension agents changed from </w:t>
      </w:r>
      <w:r w:rsidR="007D4491">
        <w:rPr>
          <w:sz w:val="24"/>
          <w:szCs w:val="24"/>
        </w:rPr>
        <w:t xml:space="preserve">only </w:t>
      </w:r>
      <w:r w:rsidR="007E0012">
        <w:rPr>
          <w:sz w:val="24"/>
          <w:szCs w:val="24"/>
        </w:rPr>
        <w:t>transfer of technology to facilitating learning among farmers.</w:t>
      </w:r>
      <w:r w:rsidR="007D4491">
        <w:rPr>
          <w:sz w:val="24"/>
          <w:szCs w:val="24"/>
        </w:rPr>
        <w:t xml:space="preserve">  Ghana decided to build on these roles to empower clients to make better decisions about their own activities.  </w:t>
      </w:r>
    </w:p>
    <w:p w:rsidR="00E024C7" w:rsidRPr="00E024C7" w:rsidRDefault="00E024C7" w:rsidP="00E024C7">
      <w:pPr>
        <w:pStyle w:val="ListParagraph"/>
        <w:ind w:left="450"/>
        <w:rPr>
          <w:sz w:val="24"/>
          <w:szCs w:val="24"/>
        </w:rPr>
      </w:pPr>
    </w:p>
    <w:p w:rsidR="004718E4" w:rsidRDefault="00210624" w:rsidP="0005595F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>
        <w:rPr>
          <w:sz w:val="24"/>
          <w:szCs w:val="24"/>
        </w:rPr>
        <w:t>General Approach</w:t>
      </w:r>
      <w:r w:rsidR="0005595F">
        <w:rPr>
          <w:sz w:val="24"/>
          <w:szCs w:val="24"/>
        </w:rPr>
        <w:t xml:space="preserve">: </w:t>
      </w:r>
      <w:r w:rsidR="00507AD5">
        <w:rPr>
          <w:sz w:val="24"/>
          <w:szCs w:val="24"/>
        </w:rPr>
        <w:t xml:space="preserve"> Lots of background/ contextual </w:t>
      </w:r>
      <w:r w:rsidR="0005595F">
        <w:rPr>
          <w:sz w:val="24"/>
          <w:szCs w:val="24"/>
        </w:rPr>
        <w:t xml:space="preserve">information </w:t>
      </w:r>
      <w:r w:rsidR="00507AD5">
        <w:rPr>
          <w:sz w:val="24"/>
          <w:szCs w:val="24"/>
        </w:rPr>
        <w:t>explaining the development of the extension system</w:t>
      </w:r>
      <w:r w:rsidR="004718E4">
        <w:rPr>
          <w:sz w:val="24"/>
          <w:szCs w:val="24"/>
        </w:rPr>
        <w:t xml:space="preserve"> and constraints to delivery as well as broad discussion of rationale for a new look at agriculture extension including policy.  </w:t>
      </w:r>
    </w:p>
    <w:p w:rsidR="0005595F" w:rsidRDefault="004718E4" w:rsidP="004718E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05595F">
        <w:rPr>
          <w:sz w:val="24"/>
          <w:szCs w:val="24"/>
        </w:rPr>
        <w:t>Guiding principles include:</w:t>
      </w:r>
    </w:p>
    <w:p w:rsidR="004718E4" w:rsidRDefault="004718E4" w:rsidP="0005595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Demand-driven, client-focused</w:t>
      </w:r>
    </w:p>
    <w:p w:rsidR="004718E4" w:rsidRDefault="004718E4" w:rsidP="0005595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Pluralistic</w:t>
      </w:r>
    </w:p>
    <w:p w:rsidR="004718E4" w:rsidRDefault="004718E4" w:rsidP="0005595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Ensures extension provision to small-scale resource poor farmers with special attention to women, youth, and they physically challenged –with services delivered to small-scale resource poor farmers funded by government</w:t>
      </w:r>
    </w:p>
    <w:p w:rsidR="004718E4" w:rsidRDefault="004718E4" w:rsidP="0005595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Public funding to establish better planning and prioritization of commitments</w:t>
      </w:r>
    </w:p>
    <w:p w:rsidR="004718E4" w:rsidRDefault="004718E4" w:rsidP="0005595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Open to new funding mechanisms</w:t>
      </w:r>
    </w:p>
    <w:p w:rsidR="004718E4" w:rsidRDefault="004718E4" w:rsidP="0005595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Decisions devolved to District Assemblies in consultation with MOFA, farmers, other stakeholders</w:t>
      </w:r>
    </w:p>
    <w:p w:rsidR="004718E4" w:rsidRDefault="004718E4" w:rsidP="0005595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Involve community in problem identification, planning, implementation, and evaluation of extension</w:t>
      </w:r>
    </w:p>
    <w:p w:rsidR="004718E4" w:rsidRDefault="004718E4" w:rsidP="0005595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Encourage private sector to finance and engage in EAS</w:t>
      </w:r>
    </w:p>
    <w:p w:rsidR="004718E4" w:rsidRDefault="004718E4" w:rsidP="0005595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EAs cost effective and ensures accountability</w:t>
      </w:r>
    </w:p>
    <w:p w:rsidR="004718E4" w:rsidRDefault="004718E4" w:rsidP="0005595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More pro-active in developing farmers’ business and marketing skills</w:t>
      </w:r>
    </w:p>
    <w:p w:rsidR="004718E4" w:rsidRDefault="004718E4" w:rsidP="0005595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EAS monitored by District Assemblies in conjunction with MOFA and farmers to ensure quality of services provided by the private sector</w:t>
      </w:r>
    </w:p>
    <w:p w:rsidR="004718E4" w:rsidRDefault="004718E4" w:rsidP="0005595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HRD continuous and intensified</w:t>
      </w:r>
    </w:p>
    <w:p w:rsidR="0005595F" w:rsidRPr="0005595F" w:rsidRDefault="0005595F" w:rsidP="0005595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A4033F" w:rsidRPr="00A4033F" w:rsidRDefault="00432D04" w:rsidP="00A4033F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Ghana policy included a broad vision statement.  </w:t>
      </w:r>
      <w:r w:rsidR="00210624">
        <w:rPr>
          <w:sz w:val="24"/>
          <w:szCs w:val="24"/>
        </w:rPr>
        <w:t>Mission Statement</w:t>
      </w:r>
      <w:r w:rsidR="00B14547">
        <w:rPr>
          <w:sz w:val="24"/>
          <w:szCs w:val="24"/>
        </w:rPr>
        <w:t xml:space="preserve"> of the Policy</w:t>
      </w:r>
      <w:r w:rsidR="0005595F">
        <w:rPr>
          <w:sz w:val="24"/>
          <w:szCs w:val="24"/>
        </w:rPr>
        <w:t>:</w:t>
      </w:r>
      <w:r w:rsidR="00A4033F">
        <w:rPr>
          <w:sz w:val="24"/>
          <w:szCs w:val="24"/>
        </w:rPr>
        <w:t xml:space="preserve">  MOFA will work with regional and district administrations to ensure that extension services contribute effectively and efficiently to social and economic development through:</w:t>
      </w:r>
    </w:p>
    <w:p w:rsidR="00E024C7" w:rsidRDefault="00A4033F" w:rsidP="00E024C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Address needs of farmers, especially the rural poor to reduce poverty</w:t>
      </w:r>
    </w:p>
    <w:p w:rsidR="00A4033F" w:rsidRDefault="00A4033F" w:rsidP="00E024C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Ensure that farmers adopt environmentally sustainable approaches</w:t>
      </w:r>
    </w:p>
    <w:p w:rsidR="00A4033F" w:rsidRDefault="00A4033F" w:rsidP="00E024C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Raise agricultural productivity</w:t>
      </w:r>
    </w:p>
    <w:p w:rsidR="00A4033F" w:rsidRDefault="00A4033F" w:rsidP="00E024C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Create an enabling environment for private sector participation in EAS delivery</w:t>
      </w:r>
      <w:r w:rsidR="003760A6">
        <w:rPr>
          <w:sz w:val="24"/>
          <w:szCs w:val="24"/>
        </w:rPr>
        <w:t xml:space="preserve"> and </w:t>
      </w:r>
      <w:r>
        <w:rPr>
          <w:sz w:val="24"/>
          <w:szCs w:val="24"/>
        </w:rPr>
        <w:t>funding</w:t>
      </w:r>
    </w:p>
    <w:p w:rsidR="00E024C7" w:rsidRPr="00E024C7" w:rsidRDefault="00E024C7" w:rsidP="00E024C7">
      <w:pPr>
        <w:rPr>
          <w:sz w:val="24"/>
          <w:szCs w:val="24"/>
        </w:rPr>
      </w:pPr>
    </w:p>
    <w:p w:rsidR="00F0563C" w:rsidRDefault="00E024C7" w:rsidP="00E024C7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>
        <w:rPr>
          <w:sz w:val="24"/>
          <w:szCs w:val="24"/>
        </w:rPr>
        <w:t>Major Policy Issues Articulated</w:t>
      </w:r>
      <w:r w:rsidR="00F0563C">
        <w:rPr>
          <w:sz w:val="24"/>
          <w:szCs w:val="24"/>
        </w:rPr>
        <w:t xml:space="preserve">:  </w:t>
      </w:r>
      <w:r w:rsidR="00A4033F">
        <w:rPr>
          <w:sz w:val="24"/>
          <w:szCs w:val="24"/>
        </w:rPr>
        <w:t xml:space="preserve">The policy identifies seven objectives, each having specific strategies to achieve the objectives. </w:t>
      </w:r>
    </w:p>
    <w:p w:rsidR="00A4033F" w:rsidRDefault="00A4033F" w:rsidP="00A4033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Promote best farmers practice</w:t>
      </w:r>
    </w:p>
    <w:p w:rsidR="00A4033F" w:rsidRDefault="00A4033F" w:rsidP="00A4033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Support development and use of different approaches to extension</w:t>
      </w:r>
    </w:p>
    <w:p w:rsidR="00A4033F" w:rsidRDefault="00A4033F" w:rsidP="00A4033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Empower farmers through formation of FBOs and marketing cooperatives in collaboration with Department of Cooperatives</w:t>
      </w:r>
    </w:p>
    <w:p w:rsidR="00A4033F" w:rsidRDefault="00A4033F" w:rsidP="00A4033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Will operationalize the roles and responsibilities of the various levels of governance (national, regional, and district) as defined under the decentralization process (no information on what those roles are)</w:t>
      </w:r>
    </w:p>
    <w:p w:rsidR="00A4033F" w:rsidRDefault="00A4033F" w:rsidP="00A4033F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Revise the decentralization handbook to clarify roles/responsibilities</w:t>
      </w:r>
    </w:p>
    <w:p w:rsidR="00A4033F" w:rsidRDefault="00A4033F" w:rsidP="00A4033F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Monitor extension at district level </w:t>
      </w:r>
    </w:p>
    <w:p w:rsidR="00A4033F" w:rsidRDefault="00A4033F" w:rsidP="00A4033F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Ensure that financial decentralization becomes operational</w:t>
      </w:r>
    </w:p>
    <w:p w:rsidR="001D0ABF" w:rsidRDefault="001D0ABF" w:rsidP="001D0AB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Increase efficiency and cost effectiveness of public sector extension</w:t>
      </w:r>
    </w:p>
    <w:p w:rsidR="001D0ABF" w:rsidRDefault="001D0ABF" w:rsidP="001D0AB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Ensure relevance of service</w:t>
      </w:r>
    </w:p>
    <w:p w:rsidR="001D0ABF" w:rsidRDefault="001D0ABF" w:rsidP="001D0AB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Consider HIV/AIDS, environmental degradation, poverty reduction, gender, equity, client empowerment</w:t>
      </w:r>
    </w:p>
    <w:p w:rsidR="001D0ABF" w:rsidRDefault="001D0ABF" w:rsidP="001D0AB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Continuously build capacity</w:t>
      </w:r>
    </w:p>
    <w:p w:rsidR="00F0563C" w:rsidRPr="00F0563C" w:rsidRDefault="00F0563C" w:rsidP="00F0563C">
      <w:pPr>
        <w:pStyle w:val="ListParagraph"/>
        <w:ind w:left="360"/>
        <w:rPr>
          <w:sz w:val="24"/>
          <w:szCs w:val="24"/>
        </w:rPr>
      </w:pPr>
    </w:p>
    <w:p w:rsidR="001D0ABF" w:rsidRDefault="009F2710" w:rsidP="001D0ABF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3760A6">
        <w:rPr>
          <w:sz w:val="24"/>
          <w:szCs w:val="24"/>
        </w:rPr>
        <w:t>Follow-up Studies on Policy and Current S</w:t>
      </w:r>
      <w:r w:rsidR="00B14547" w:rsidRPr="003760A6">
        <w:rPr>
          <w:sz w:val="24"/>
          <w:szCs w:val="24"/>
        </w:rPr>
        <w:t xml:space="preserve">tatus:  </w:t>
      </w:r>
      <w:r w:rsidR="001D0ABF" w:rsidRPr="003760A6">
        <w:rPr>
          <w:sz w:val="24"/>
          <w:szCs w:val="24"/>
        </w:rPr>
        <w:t>Current information indicates the policy i</w:t>
      </w:r>
      <w:r w:rsidR="003760A6" w:rsidRPr="003760A6">
        <w:rPr>
          <w:sz w:val="24"/>
          <w:szCs w:val="24"/>
        </w:rPr>
        <w:t xml:space="preserve">s in process of being revised but written information on this is not available at this time. </w:t>
      </w:r>
    </w:p>
    <w:p w:rsidR="003760A6" w:rsidRPr="003760A6" w:rsidRDefault="003760A6" w:rsidP="003760A6">
      <w:pPr>
        <w:pStyle w:val="ListParagraph"/>
        <w:ind w:left="360"/>
        <w:rPr>
          <w:sz w:val="24"/>
          <w:szCs w:val="24"/>
        </w:rPr>
      </w:pPr>
    </w:p>
    <w:p w:rsidR="00E024C7" w:rsidRDefault="009F2710" w:rsidP="00210624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Reviewer and Others’ </w:t>
      </w:r>
      <w:r w:rsidR="00E024C7">
        <w:rPr>
          <w:sz w:val="24"/>
          <w:szCs w:val="24"/>
        </w:rPr>
        <w:t>Comments</w:t>
      </w:r>
    </w:p>
    <w:p w:rsidR="009F2710" w:rsidRDefault="001D0ABF" w:rsidP="009F271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Mix of objectives and strategies to achieve objectives.  </w:t>
      </w:r>
    </w:p>
    <w:p w:rsidR="00054BFB" w:rsidRDefault="00054BFB" w:rsidP="00054BFB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Appears that the objectives are meant to capture policy issues – some do but many seem to be goals/objectives of EAS</w:t>
      </w:r>
    </w:p>
    <w:p w:rsidR="00361600" w:rsidRDefault="00361600" w:rsidP="00361600">
      <w:pPr>
        <w:rPr>
          <w:sz w:val="24"/>
          <w:szCs w:val="24"/>
        </w:rPr>
      </w:pPr>
    </w:p>
    <w:p w:rsidR="00AD30BC" w:rsidRDefault="00AD30BC" w:rsidP="00361600">
      <w:pPr>
        <w:rPr>
          <w:sz w:val="24"/>
          <w:szCs w:val="24"/>
        </w:rPr>
      </w:pPr>
    </w:p>
    <w:p w:rsidR="00AD30BC" w:rsidRDefault="00AD30B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61600" w:rsidRDefault="00361600" w:rsidP="0036160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REVIEW OF BANGLADESH</w:t>
      </w:r>
      <w:r w:rsidRPr="00210624">
        <w:rPr>
          <w:b/>
          <w:sz w:val="24"/>
          <w:szCs w:val="24"/>
        </w:rPr>
        <w:t xml:space="preserve"> NATIONAL AGRICULTURE EXTENSION POLICY</w:t>
      </w:r>
    </w:p>
    <w:p w:rsidR="00361600" w:rsidRDefault="00361600" w:rsidP="00361600">
      <w:pPr>
        <w:rPr>
          <w:b/>
          <w:sz w:val="24"/>
          <w:szCs w:val="24"/>
        </w:rPr>
      </w:pPr>
    </w:p>
    <w:p w:rsidR="00361600" w:rsidRDefault="00361600" w:rsidP="0036160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Country:  Bangladesh</w:t>
      </w:r>
    </w:p>
    <w:p w:rsidR="00361600" w:rsidRDefault="00361600" w:rsidP="00361600">
      <w:pPr>
        <w:pStyle w:val="ListParagraph"/>
        <w:ind w:left="360"/>
        <w:rPr>
          <w:sz w:val="24"/>
          <w:szCs w:val="24"/>
        </w:rPr>
      </w:pPr>
    </w:p>
    <w:p w:rsidR="00361600" w:rsidRDefault="00361600" w:rsidP="0036160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Policy Date:  1996</w:t>
      </w:r>
    </w:p>
    <w:p w:rsidR="00361600" w:rsidRDefault="00361600" w:rsidP="00361600">
      <w:pPr>
        <w:pStyle w:val="ListParagraph"/>
        <w:ind w:left="360"/>
        <w:rPr>
          <w:sz w:val="24"/>
          <w:szCs w:val="24"/>
        </w:rPr>
      </w:pPr>
    </w:p>
    <w:p w:rsidR="00361600" w:rsidRDefault="00361600" w:rsidP="0036160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Policy Title:  New Agricultural Extension Policy (NAEP)</w:t>
      </w:r>
    </w:p>
    <w:p w:rsidR="00361600" w:rsidRDefault="00361600" w:rsidP="00361600">
      <w:pPr>
        <w:pStyle w:val="ListParagraph"/>
        <w:ind w:left="360"/>
        <w:rPr>
          <w:sz w:val="24"/>
          <w:szCs w:val="24"/>
        </w:rPr>
      </w:pPr>
    </w:p>
    <w:p w:rsidR="00361600" w:rsidRDefault="00361600" w:rsidP="0036160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Total Pages:  10 </w:t>
      </w:r>
    </w:p>
    <w:p w:rsidR="00361600" w:rsidRDefault="00361600" w:rsidP="00361600">
      <w:pPr>
        <w:pStyle w:val="ListParagraph"/>
        <w:ind w:left="360"/>
        <w:rPr>
          <w:sz w:val="24"/>
          <w:szCs w:val="24"/>
        </w:rPr>
      </w:pPr>
    </w:p>
    <w:p w:rsidR="00361600" w:rsidRDefault="00361600" w:rsidP="0036160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 w:rsidRPr="00361600">
        <w:rPr>
          <w:sz w:val="24"/>
          <w:szCs w:val="24"/>
        </w:rPr>
        <w:t>Development of Policy Process:  Task Force with Secretary, MOA as Chair.  Task</w:t>
      </w:r>
      <w:r w:rsidR="00DF18CD">
        <w:rPr>
          <w:sz w:val="24"/>
          <w:szCs w:val="24"/>
        </w:rPr>
        <w:t xml:space="preserve"> Force comprised of private, NGO</w:t>
      </w:r>
      <w:r w:rsidRPr="00361600">
        <w:rPr>
          <w:sz w:val="24"/>
          <w:szCs w:val="24"/>
        </w:rPr>
        <w:t>, and public sector extension providers</w:t>
      </w:r>
      <w:r w:rsidR="00DF18CD">
        <w:rPr>
          <w:sz w:val="24"/>
          <w:szCs w:val="24"/>
        </w:rPr>
        <w:t xml:space="preserve"> as well as farmers</w:t>
      </w:r>
      <w:r w:rsidRPr="00361600">
        <w:rPr>
          <w:sz w:val="24"/>
          <w:szCs w:val="24"/>
        </w:rPr>
        <w:t xml:space="preserve">.  Task Force developed a draft which was circulated for comment, resulting in the NAEP. </w:t>
      </w:r>
    </w:p>
    <w:p w:rsidR="00361600" w:rsidRDefault="00361600" w:rsidP="00361600">
      <w:pPr>
        <w:pStyle w:val="ListParagraph"/>
        <w:ind w:left="360"/>
        <w:rPr>
          <w:sz w:val="24"/>
          <w:szCs w:val="24"/>
        </w:rPr>
      </w:pPr>
      <w:r w:rsidRPr="00361600">
        <w:rPr>
          <w:sz w:val="24"/>
          <w:szCs w:val="24"/>
        </w:rPr>
        <w:t xml:space="preserve"> </w:t>
      </w:r>
    </w:p>
    <w:p w:rsidR="00361600" w:rsidRPr="00361600" w:rsidRDefault="00361600" w:rsidP="0036160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 w:rsidRPr="00361600">
        <w:rPr>
          <w:sz w:val="24"/>
          <w:szCs w:val="24"/>
        </w:rPr>
        <w:t>Table of Contents</w:t>
      </w:r>
    </w:p>
    <w:p w:rsidR="00361600" w:rsidRDefault="00361600" w:rsidP="00361600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Introduction</w:t>
      </w:r>
    </w:p>
    <w:p w:rsidR="004212B9" w:rsidRDefault="004212B9" w:rsidP="004212B9">
      <w:pPr>
        <w:pStyle w:val="ListParagraph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Agriculture in Bangladesh</w:t>
      </w:r>
    </w:p>
    <w:p w:rsidR="004212B9" w:rsidRDefault="004212B9" w:rsidP="004212B9">
      <w:pPr>
        <w:pStyle w:val="ListParagraph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Agricultural Policy and Priorities</w:t>
      </w:r>
    </w:p>
    <w:p w:rsidR="00361600" w:rsidRDefault="00361600" w:rsidP="00361600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New Agricultural Extension Policy</w:t>
      </w:r>
    </w:p>
    <w:p w:rsidR="00361600" w:rsidRDefault="00361600" w:rsidP="00361600">
      <w:pPr>
        <w:pStyle w:val="ListParagraph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Role of Agricultural Extension</w:t>
      </w:r>
    </w:p>
    <w:p w:rsidR="00361600" w:rsidRDefault="00361600" w:rsidP="00361600">
      <w:pPr>
        <w:pStyle w:val="ListParagraph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National Agricultural Extension System</w:t>
      </w:r>
    </w:p>
    <w:p w:rsidR="00361600" w:rsidRDefault="00361600" w:rsidP="00361600">
      <w:pPr>
        <w:pStyle w:val="ListParagraph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Goal and Components of the NAEP</w:t>
      </w:r>
    </w:p>
    <w:p w:rsidR="008347D0" w:rsidRPr="00341CF3" w:rsidRDefault="008347D0" w:rsidP="008347D0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Implementation Strategy </w:t>
      </w:r>
      <w:r w:rsidR="00AD160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D1608">
        <w:rPr>
          <w:sz w:val="24"/>
          <w:szCs w:val="24"/>
        </w:rPr>
        <w:t>to be developed (definitions of roles; mechanisms for collaboration; for supply, management and monitoring of resources to extension; for training; for linkage between farmers, extension and research).</w:t>
      </w:r>
    </w:p>
    <w:p w:rsidR="00361600" w:rsidRDefault="00361600" w:rsidP="00361600">
      <w:pPr>
        <w:pStyle w:val="ListParagraph"/>
        <w:ind w:left="2160"/>
        <w:rPr>
          <w:sz w:val="24"/>
          <w:szCs w:val="24"/>
        </w:rPr>
      </w:pPr>
    </w:p>
    <w:p w:rsidR="00361600" w:rsidRDefault="00361600" w:rsidP="00361600">
      <w:pPr>
        <w:pStyle w:val="ListParagraph"/>
        <w:numPr>
          <w:ilvl w:val="0"/>
          <w:numId w:val="9"/>
        </w:numPr>
        <w:ind w:left="450" w:hanging="450"/>
        <w:rPr>
          <w:sz w:val="24"/>
          <w:szCs w:val="24"/>
        </w:rPr>
      </w:pPr>
      <w:r w:rsidRPr="00361600">
        <w:rPr>
          <w:sz w:val="24"/>
          <w:szCs w:val="24"/>
        </w:rPr>
        <w:t xml:space="preserve">Game Changing Context:  </w:t>
      </w:r>
      <w:r>
        <w:rPr>
          <w:sz w:val="24"/>
          <w:szCs w:val="24"/>
        </w:rPr>
        <w:t>Rei</w:t>
      </w:r>
      <w:r w:rsidR="003760A6">
        <w:rPr>
          <w:sz w:val="24"/>
          <w:szCs w:val="24"/>
        </w:rPr>
        <w:t xml:space="preserve">nvigorate extension </w:t>
      </w:r>
      <w:r w:rsidR="004212B9">
        <w:rPr>
          <w:sz w:val="24"/>
          <w:szCs w:val="24"/>
        </w:rPr>
        <w:t>following collapse of T&amp;V (T&amp;V introduced in 1977 and operated until 1993).</w:t>
      </w:r>
    </w:p>
    <w:p w:rsidR="00361600" w:rsidRPr="00361600" w:rsidRDefault="00361600" w:rsidP="00361600">
      <w:pPr>
        <w:pStyle w:val="ListParagraph"/>
        <w:ind w:left="450"/>
        <w:rPr>
          <w:sz w:val="24"/>
          <w:szCs w:val="24"/>
        </w:rPr>
      </w:pPr>
    </w:p>
    <w:p w:rsidR="00361600" w:rsidRDefault="00361600" w:rsidP="0036160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sz w:val="24"/>
          <w:szCs w:val="24"/>
        </w:rPr>
        <w:t>General Approach:  The policy articulates 11 key components which are to be implemented to achieve the goal of the policy</w:t>
      </w:r>
      <w:r w:rsidRPr="00361600">
        <w:rPr>
          <w:b/>
          <w:sz w:val="24"/>
          <w:szCs w:val="24"/>
        </w:rPr>
        <w:t xml:space="preserve">.   </w:t>
      </w:r>
      <w:r w:rsidR="00AD1608">
        <w:rPr>
          <w:sz w:val="24"/>
          <w:szCs w:val="24"/>
        </w:rPr>
        <w:t>No general principle</w:t>
      </w:r>
      <w:r>
        <w:rPr>
          <w:sz w:val="24"/>
          <w:szCs w:val="24"/>
        </w:rPr>
        <w:t>s</w:t>
      </w:r>
      <w:r w:rsidR="003760A6">
        <w:rPr>
          <w:sz w:val="24"/>
          <w:szCs w:val="24"/>
        </w:rPr>
        <w:t xml:space="preserve"> (although at one point </w:t>
      </w:r>
      <w:r w:rsidR="00AD1608">
        <w:rPr>
          <w:sz w:val="24"/>
          <w:szCs w:val="24"/>
        </w:rPr>
        <w:t>the language says the components are actually the principles and the implementation strategy will set the mechanisms for put</w:t>
      </w:r>
      <w:r w:rsidR="003760A6">
        <w:rPr>
          <w:sz w:val="24"/>
          <w:szCs w:val="24"/>
        </w:rPr>
        <w:t>ting the principles into place)</w:t>
      </w:r>
      <w:r>
        <w:rPr>
          <w:sz w:val="24"/>
          <w:szCs w:val="24"/>
        </w:rPr>
        <w:t xml:space="preserve">.  </w:t>
      </w:r>
    </w:p>
    <w:p w:rsidR="00361600" w:rsidRPr="0005595F" w:rsidRDefault="00361600" w:rsidP="0036160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361600" w:rsidRDefault="00AD1608" w:rsidP="0036160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sz w:val="24"/>
          <w:szCs w:val="24"/>
        </w:rPr>
        <w:t>Goal statement rather than vision or mission statement:</w:t>
      </w:r>
      <w:r w:rsidR="00361600">
        <w:rPr>
          <w:sz w:val="24"/>
          <w:szCs w:val="24"/>
        </w:rPr>
        <w:t xml:space="preserve"> </w:t>
      </w:r>
    </w:p>
    <w:p w:rsidR="00361600" w:rsidRDefault="00361600" w:rsidP="004212B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The goal of the NAEP is to:  encourage the various partners and agencies within the national agricultural extension syste</w:t>
      </w:r>
      <w:r w:rsidR="004212B9">
        <w:rPr>
          <w:sz w:val="24"/>
          <w:szCs w:val="24"/>
        </w:rPr>
        <w:t>m</w:t>
      </w:r>
      <w:r>
        <w:rPr>
          <w:sz w:val="24"/>
          <w:szCs w:val="24"/>
        </w:rPr>
        <w:t xml:space="preserve"> to provide efficient and effective services which complement and reinforce each o</w:t>
      </w:r>
      <w:r w:rsidR="004212B9">
        <w:rPr>
          <w:sz w:val="24"/>
          <w:szCs w:val="24"/>
        </w:rPr>
        <w:t xml:space="preserve">ther, in an effort to increase the efficiency and productivity of agriculture in Bangladesh.  </w:t>
      </w:r>
    </w:p>
    <w:p w:rsidR="00361600" w:rsidRDefault="00361600" w:rsidP="00361600">
      <w:pPr>
        <w:rPr>
          <w:sz w:val="24"/>
          <w:szCs w:val="24"/>
        </w:rPr>
      </w:pPr>
    </w:p>
    <w:p w:rsidR="00AD30BC" w:rsidRDefault="00AD30BC" w:rsidP="00361600">
      <w:pPr>
        <w:rPr>
          <w:sz w:val="24"/>
          <w:szCs w:val="24"/>
        </w:rPr>
      </w:pPr>
    </w:p>
    <w:p w:rsidR="00AD30BC" w:rsidRDefault="00AD30BC" w:rsidP="00361600">
      <w:pPr>
        <w:rPr>
          <w:sz w:val="24"/>
          <w:szCs w:val="24"/>
        </w:rPr>
      </w:pPr>
    </w:p>
    <w:p w:rsidR="00AD30BC" w:rsidRDefault="00AD30BC" w:rsidP="00361600">
      <w:pPr>
        <w:rPr>
          <w:sz w:val="24"/>
          <w:szCs w:val="24"/>
        </w:rPr>
      </w:pPr>
    </w:p>
    <w:p w:rsidR="00AD30BC" w:rsidRPr="00E024C7" w:rsidRDefault="00AD30BC" w:rsidP="00361600">
      <w:pPr>
        <w:rPr>
          <w:sz w:val="24"/>
          <w:szCs w:val="24"/>
        </w:rPr>
      </w:pPr>
    </w:p>
    <w:p w:rsidR="004212B9" w:rsidRDefault="00361600" w:rsidP="004212B9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Major Policy Issues Articulated:  </w:t>
      </w:r>
      <w:r w:rsidR="004212B9">
        <w:rPr>
          <w:sz w:val="24"/>
          <w:szCs w:val="24"/>
        </w:rPr>
        <w:t>Framed as components to achieve the goal of the policy.</w:t>
      </w:r>
    </w:p>
    <w:p w:rsidR="004212B9" w:rsidRPr="004212B9" w:rsidRDefault="004212B9" w:rsidP="004212B9">
      <w:pPr>
        <w:pStyle w:val="ListParagraph"/>
        <w:ind w:left="360"/>
        <w:rPr>
          <w:sz w:val="24"/>
          <w:szCs w:val="24"/>
        </w:rPr>
      </w:pPr>
    </w:p>
    <w:p w:rsidR="004212B9" w:rsidRDefault="004212B9" w:rsidP="00361600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Extension support to all categories of farmers</w:t>
      </w:r>
    </w:p>
    <w:p w:rsidR="004212B9" w:rsidRDefault="004212B9" w:rsidP="00361600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Efficient extension services (through training, institutional strengthening, and logistical support)</w:t>
      </w:r>
    </w:p>
    <w:p w:rsidR="004212B9" w:rsidRDefault="004212B9" w:rsidP="00361600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Decentralization – of extension staff and devolving responsibility for some aspects of planning and implementation of extension programmes</w:t>
      </w:r>
    </w:p>
    <w:p w:rsidR="004212B9" w:rsidRDefault="004212B9" w:rsidP="00361600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Demand-led extension – identification of farmer problems with farmers at field level</w:t>
      </w:r>
    </w:p>
    <w:p w:rsidR="004212B9" w:rsidRDefault="004212B9" w:rsidP="00361600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Working with groups of all kinds – focus on existing groups (private could work with public organized groups)</w:t>
      </w:r>
    </w:p>
    <w:p w:rsidR="008347D0" w:rsidRDefault="004212B9" w:rsidP="00361600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Strengthened extension-research linkage – setting-up a hierarchy of institutional mechanisms between extension and research – </w:t>
      </w:r>
    </w:p>
    <w:p w:rsidR="004212B9" w:rsidRDefault="004212B9" w:rsidP="008347D0">
      <w:pPr>
        <w:pStyle w:val="ListParagraph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national technical coordination committee of extension</w:t>
      </w:r>
      <w:r w:rsidR="008347D0">
        <w:rPr>
          <w:sz w:val="24"/>
          <w:szCs w:val="24"/>
        </w:rPr>
        <w:t>, NGO and private sector;</w:t>
      </w:r>
      <w:r>
        <w:rPr>
          <w:sz w:val="24"/>
          <w:szCs w:val="24"/>
        </w:rPr>
        <w:t xml:space="preserve"> and research</w:t>
      </w:r>
    </w:p>
    <w:p w:rsidR="008347D0" w:rsidRDefault="008347D0" w:rsidP="008347D0">
      <w:pPr>
        <w:pStyle w:val="ListParagraph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regional – research and extension representatives – by agro-ecological zone</w:t>
      </w:r>
    </w:p>
    <w:p w:rsidR="008347D0" w:rsidRDefault="008347D0" w:rsidP="008347D0">
      <w:pPr>
        <w:pStyle w:val="ListParagraph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review workshops with extension and research</w:t>
      </w:r>
    </w:p>
    <w:p w:rsidR="008347D0" w:rsidRDefault="008347D0" w:rsidP="008347D0">
      <w:pPr>
        <w:pStyle w:val="ListParagraph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setting-up a contract research system</w:t>
      </w:r>
    </w:p>
    <w:p w:rsidR="004212B9" w:rsidRDefault="004212B9" w:rsidP="00361600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Training of extension personnel</w:t>
      </w:r>
      <w:r w:rsidR="008347D0">
        <w:rPr>
          <w:sz w:val="24"/>
          <w:szCs w:val="24"/>
        </w:rPr>
        <w:t xml:space="preserve"> – policy is for government training and training funds to </w:t>
      </w:r>
      <w:r w:rsidR="00256A12">
        <w:rPr>
          <w:sz w:val="24"/>
          <w:szCs w:val="24"/>
        </w:rPr>
        <w:t xml:space="preserve">be </w:t>
      </w:r>
      <w:r w:rsidR="008347D0">
        <w:rPr>
          <w:sz w:val="24"/>
          <w:szCs w:val="24"/>
        </w:rPr>
        <w:t xml:space="preserve">made accessible to all EAS providers </w:t>
      </w:r>
    </w:p>
    <w:p w:rsidR="004212B9" w:rsidRDefault="004212B9" w:rsidP="00361600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Appropriate extension</w:t>
      </w:r>
      <w:r w:rsidR="008347D0">
        <w:rPr>
          <w:sz w:val="24"/>
          <w:szCs w:val="24"/>
        </w:rPr>
        <w:t xml:space="preserve"> methodology (various methods: farm visits, ICT, demonstrations, participatory methods, fairs</w:t>
      </w:r>
      <w:r>
        <w:rPr>
          <w:sz w:val="24"/>
          <w:szCs w:val="24"/>
        </w:rPr>
        <w:t>)</w:t>
      </w:r>
    </w:p>
    <w:p w:rsidR="004212B9" w:rsidRDefault="004212B9" w:rsidP="00361600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Integrated extension support to farmers</w:t>
      </w:r>
      <w:r w:rsidR="008347D0">
        <w:rPr>
          <w:sz w:val="24"/>
          <w:szCs w:val="24"/>
        </w:rPr>
        <w:t xml:space="preserve"> – provide advice on all aspects of agriculture – advice to be made available to NGOs and others as requested</w:t>
      </w:r>
    </w:p>
    <w:p w:rsidR="004212B9" w:rsidRDefault="004212B9" w:rsidP="00361600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Coordinated extension activities</w:t>
      </w:r>
      <w:r w:rsidR="008347D0">
        <w:rPr>
          <w:sz w:val="24"/>
          <w:szCs w:val="24"/>
        </w:rPr>
        <w:t xml:space="preserve"> (sharing of information and expertise; participation in each others’ extension activities where appropriate); coordinated at five levels</w:t>
      </w:r>
    </w:p>
    <w:p w:rsidR="008347D0" w:rsidRDefault="008347D0" w:rsidP="008347D0">
      <w:pPr>
        <w:pStyle w:val="ListParagraph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Local – all EAS  participate in meetings of Union Councils</w:t>
      </w:r>
    </w:p>
    <w:p w:rsidR="008347D0" w:rsidRDefault="008347D0" w:rsidP="008347D0">
      <w:pPr>
        <w:pStyle w:val="ListParagraph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Thana – through Thana Ag Dev Committee (reps from government, private, NGO, research, farmers, farmer organizations)</w:t>
      </w:r>
    </w:p>
    <w:p w:rsidR="008347D0" w:rsidRDefault="008347D0" w:rsidP="008347D0">
      <w:pPr>
        <w:pStyle w:val="ListParagraph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District – through District Extension Programming Committee and District Dev Coordination Committee</w:t>
      </w:r>
    </w:p>
    <w:p w:rsidR="008347D0" w:rsidRDefault="008347D0" w:rsidP="008347D0">
      <w:pPr>
        <w:pStyle w:val="ListParagraph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Regional  – through Agricultural Tech Committee (government, NGO, research) to discuss technical issues relating extension programs</w:t>
      </w:r>
    </w:p>
    <w:p w:rsidR="008347D0" w:rsidRDefault="008347D0" w:rsidP="008347D0">
      <w:pPr>
        <w:pStyle w:val="ListParagraph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National – National Tech Coordination Committee, all agencies to discuss research and technical issues relating to extension work</w:t>
      </w:r>
    </w:p>
    <w:p w:rsidR="008347D0" w:rsidRDefault="008347D0" w:rsidP="008347D0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Integrated Environmental support (control pollution; promote environment-friendly activities; environmental impact assessments; sustainable agriculture focus)</w:t>
      </w:r>
    </w:p>
    <w:p w:rsidR="00361600" w:rsidRDefault="00361600" w:rsidP="00361600">
      <w:pPr>
        <w:pStyle w:val="ListParagraph"/>
        <w:ind w:left="360"/>
        <w:rPr>
          <w:sz w:val="24"/>
          <w:szCs w:val="24"/>
        </w:rPr>
      </w:pPr>
    </w:p>
    <w:p w:rsidR="00AD30BC" w:rsidRDefault="00AD30BC" w:rsidP="00361600">
      <w:pPr>
        <w:pStyle w:val="ListParagraph"/>
        <w:ind w:left="360"/>
        <w:rPr>
          <w:sz w:val="24"/>
          <w:szCs w:val="24"/>
        </w:rPr>
      </w:pPr>
    </w:p>
    <w:p w:rsidR="00AD30BC" w:rsidRDefault="00AD30BC" w:rsidP="00361600">
      <w:pPr>
        <w:pStyle w:val="ListParagraph"/>
        <w:ind w:left="360"/>
        <w:rPr>
          <w:sz w:val="24"/>
          <w:szCs w:val="24"/>
        </w:rPr>
      </w:pPr>
    </w:p>
    <w:p w:rsidR="00AD30BC" w:rsidRPr="00F0563C" w:rsidRDefault="00AD30BC" w:rsidP="00361600">
      <w:pPr>
        <w:pStyle w:val="ListParagraph"/>
        <w:ind w:left="360"/>
        <w:rPr>
          <w:sz w:val="24"/>
          <w:szCs w:val="24"/>
        </w:rPr>
      </w:pPr>
    </w:p>
    <w:p w:rsidR="00B63952" w:rsidRDefault="00361600" w:rsidP="0036160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 w:rsidRPr="00AD1608">
        <w:rPr>
          <w:sz w:val="24"/>
          <w:szCs w:val="24"/>
        </w:rPr>
        <w:lastRenderedPageBreak/>
        <w:t>Follow-up Studi</w:t>
      </w:r>
      <w:r w:rsidR="003760A6">
        <w:rPr>
          <w:sz w:val="24"/>
          <w:szCs w:val="24"/>
        </w:rPr>
        <w:t>es on Policy and Current Status.</w:t>
      </w:r>
      <w:r w:rsidRPr="00AD1608">
        <w:rPr>
          <w:sz w:val="24"/>
          <w:szCs w:val="24"/>
        </w:rPr>
        <w:t xml:space="preserve">  </w:t>
      </w:r>
      <w:r w:rsidR="003760A6">
        <w:rPr>
          <w:sz w:val="24"/>
          <w:szCs w:val="24"/>
        </w:rPr>
        <w:t>Two follow-up studies are available.</w:t>
      </w:r>
      <w:r w:rsidR="00AD1608">
        <w:rPr>
          <w:sz w:val="24"/>
          <w:szCs w:val="24"/>
        </w:rPr>
        <w:t xml:space="preserve"> </w:t>
      </w:r>
    </w:p>
    <w:p w:rsidR="00171614" w:rsidRDefault="00B63952" w:rsidP="00B63952">
      <w:pPr>
        <w:pStyle w:val="ListParagraph"/>
        <w:rPr>
          <w:rFonts w:ascii="Arial" w:hAnsi="Arial" w:cs="Arial"/>
          <w:color w:val="009933"/>
          <w:shd w:val="clear" w:color="auto" w:fill="FFFFFF"/>
        </w:rPr>
      </w:pPr>
      <w:r>
        <w:rPr>
          <w:sz w:val="24"/>
          <w:szCs w:val="24"/>
        </w:rPr>
        <w:t xml:space="preserve">(1) </w:t>
      </w:r>
      <w:r w:rsidR="00AD1608">
        <w:rPr>
          <w:sz w:val="24"/>
          <w:szCs w:val="24"/>
        </w:rPr>
        <w:t xml:space="preserve">World Bank.  2004.  Agriculture and Rural Development Discussion Paper 11 Extension Reform For Rural Development.  Volume 4. Revitalization within Public Sector Services. M. Hassanullah, </w:t>
      </w:r>
      <w:r w:rsidR="00AD1608" w:rsidRPr="00AD1608">
        <w:rPr>
          <w:i/>
          <w:sz w:val="24"/>
          <w:szCs w:val="24"/>
        </w:rPr>
        <w:t>Bangladesh: Agri</w:t>
      </w:r>
      <w:r>
        <w:rPr>
          <w:i/>
          <w:sz w:val="24"/>
          <w:szCs w:val="24"/>
        </w:rPr>
        <w:t>cultural extension reform i</w:t>
      </w:r>
      <w:r w:rsidR="00AD1608" w:rsidRPr="00AD1608">
        <w:rPr>
          <w:i/>
          <w:sz w:val="24"/>
          <w:szCs w:val="24"/>
        </w:rPr>
        <w:t>nitiatives</w:t>
      </w:r>
      <w:r w:rsidR="00AD1608">
        <w:rPr>
          <w:i/>
          <w:sz w:val="24"/>
          <w:szCs w:val="24"/>
        </w:rPr>
        <w:t>.</w:t>
      </w:r>
      <w:r w:rsidR="00171614" w:rsidRPr="00171614">
        <w:rPr>
          <w:rFonts w:ascii="Arial" w:hAnsi="Arial" w:cs="Arial"/>
          <w:color w:val="009933"/>
          <w:shd w:val="clear" w:color="auto" w:fill="FFFFFF"/>
        </w:rPr>
        <w:t xml:space="preserve"> </w:t>
      </w:r>
    </w:p>
    <w:p w:rsidR="00B63952" w:rsidRPr="00171614" w:rsidRDefault="00B63952" w:rsidP="00B63952">
      <w:pPr>
        <w:pStyle w:val="ListParagraph"/>
        <w:rPr>
          <w:sz w:val="24"/>
          <w:szCs w:val="24"/>
        </w:rPr>
      </w:pPr>
    </w:p>
    <w:p w:rsidR="00171614" w:rsidRDefault="00171614" w:rsidP="00171614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171614">
        <w:rPr>
          <w:sz w:val="24"/>
          <w:szCs w:val="24"/>
        </w:rPr>
        <w:t xml:space="preserve">Major Problems: </w:t>
      </w:r>
      <w:r>
        <w:rPr>
          <w:sz w:val="24"/>
          <w:szCs w:val="24"/>
        </w:rPr>
        <w:t xml:space="preserve">Extension under different ministries; ministries tend to work independently; EAS supported by numerous donors and projects who also work independently.  </w:t>
      </w:r>
    </w:p>
    <w:p w:rsidR="00171614" w:rsidRDefault="00171614" w:rsidP="00171614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Major Successe</w:t>
      </w:r>
      <w:r w:rsidR="00A37AF9">
        <w:rPr>
          <w:sz w:val="24"/>
          <w:szCs w:val="24"/>
        </w:rPr>
        <w:t>s:  Partnership activities:  A P</w:t>
      </w:r>
      <w:r>
        <w:rPr>
          <w:sz w:val="24"/>
          <w:szCs w:val="24"/>
        </w:rPr>
        <w:t>artnership Initiative Fund was introduced at various lev</w:t>
      </w:r>
      <w:r w:rsidR="00A37AF9">
        <w:rPr>
          <w:sz w:val="24"/>
          <w:szCs w:val="24"/>
        </w:rPr>
        <w:t>els with district levels receiving</w:t>
      </w:r>
      <w:r>
        <w:rPr>
          <w:sz w:val="24"/>
          <w:szCs w:val="24"/>
        </w:rPr>
        <w:t xml:space="preserve"> about $1,500. per year to finance local partnership initiatives in providing integrated extension services (public, private, NGO).  This built trust among partners and helped to meet demand-based service needs of farmers. </w:t>
      </w:r>
      <w:r w:rsidRPr="00171614">
        <w:rPr>
          <w:sz w:val="24"/>
          <w:szCs w:val="24"/>
        </w:rPr>
        <w:t xml:space="preserve"> </w:t>
      </w:r>
    </w:p>
    <w:p w:rsidR="00DF18CD" w:rsidRDefault="00171614" w:rsidP="00DF18CD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Critical factor for success of policy:  continued commitment and support of government and the donor agencies.  </w:t>
      </w:r>
    </w:p>
    <w:p w:rsidR="00DF18CD" w:rsidRDefault="00DF18CD" w:rsidP="00DF18CD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Lessons Learned</w:t>
      </w:r>
    </w:p>
    <w:p w:rsidR="00DF18CD" w:rsidRDefault="00DF18CD" w:rsidP="00DF18CD">
      <w:pPr>
        <w:pStyle w:val="ListParagraph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Requires continuous effort over time to make policy changes </w:t>
      </w:r>
    </w:p>
    <w:p w:rsidR="00DF18CD" w:rsidRDefault="00DF18CD" w:rsidP="00DF18CD">
      <w:pPr>
        <w:pStyle w:val="ListParagraph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Need is to satisfy beneficiaries</w:t>
      </w:r>
    </w:p>
    <w:p w:rsidR="00DF18CD" w:rsidRDefault="00DF18CD" w:rsidP="00DF18CD">
      <w:pPr>
        <w:pStyle w:val="ListParagraph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Organizational change is painful</w:t>
      </w:r>
    </w:p>
    <w:p w:rsidR="00171614" w:rsidRDefault="00DF18CD" w:rsidP="00DF18CD">
      <w:pPr>
        <w:pStyle w:val="ListParagraph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Success of policy depends on economic benefits that accrue to farmers</w:t>
      </w:r>
    </w:p>
    <w:p w:rsidR="00B63952" w:rsidRDefault="00B63952" w:rsidP="00B63952">
      <w:pPr>
        <w:pStyle w:val="ListParagraph"/>
        <w:ind w:left="2160"/>
        <w:rPr>
          <w:sz w:val="24"/>
          <w:szCs w:val="24"/>
        </w:rPr>
      </w:pPr>
    </w:p>
    <w:p w:rsidR="00B63952" w:rsidRDefault="00B63952" w:rsidP="00B63952">
      <w:pPr>
        <w:pStyle w:val="ListParagraph"/>
        <w:rPr>
          <w:i/>
          <w:sz w:val="24"/>
          <w:szCs w:val="24"/>
        </w:rPr>
      </w:pPr>
      <w:r>
        <w:rPr>
          <w:sz w:val="24"/>
          <w:szCs w:val="24"/>
        </w:rPr>
        <w:t xml:space="preserve">(2) </w:t>
      </w:r>
      <w:r w:rsidRPr="00B63952">
        <w:rPr>
          <w:sz w:val="24"/>
          <w:szCs w:val="24"/>
        </w:rPr>
        <w:t xml:space="preserve">National Food Policy Capacity Strengthening Programme.  2009.  Karim, Zahural.  </w:t>
      </w:r>
      <w:r w:rsidRPr="00B63952">
        <w:rPr>
          <w:i/>
          <w:sz w:val="24"/>
          <w:szCs w:val="24"/>
        </w:rPr>
        <w:t xml:space="preserve">Study of the implementation status and effectiveness of New Agricultural Extension Policy for Technology Adoption. </w:t>
      </w:r>
    </w:p>
    <w:p w:rsidR="00B63952" w:rsidRDefault="00B63952" w:rsidP="00B63952">
      <w:pPr>
        <w:pStyle w:val="ListParagraph"/>
        <w:rPr>
          <w:i/>
          <w:sz w:val="24"/>
          <w:szCs w:val="24"/>
        </w:rPr>
      </w:pPr>
    </w:p>
    <w:p w:rsidR="003A2F03" w:rsidRDefault="003A2F03" w:rsidP="003A2F03">
      <w:pPr>
        <w:pStyle w:val="ListParagraph"/>
        <w:numPr>
          <w:ilvl w:val="0"/>
          <w:numId w:val="10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Weaknesses</w:t>
      </w:r>
    </w:p>
    <w:p w:rsidR="003A2F03" w:rsidRDefault="003A2F03" w:rsidP="003A2F03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Lack of direction on implementation</w:t>
      </w:r>
    </w:p>
    <w:p w:rsidR="003A2F03" w:rsidRDefault="003A2F03" w:rsidP="003A2F03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NAEP is an interministerial and interdepartmental policy but no strength</w:t>
      </w:r>
      <w:r w:rsidR="00A37AF9">
        <w:rPr>
          <w:sz w:val="24"/>
          <w:szCs w:val="24"/>
        </w:rPr>
        <w:t>ening coordination mechanism outlined in</w:t>
      </w:r>
      <w:r>
        <w:rPr>
          <w:sz w:val="24"/>
          <w:szCs w:val="24"/>
        </w:rPr>
        <w:t xml:space="preserve"> NAEP</w:t>
      </w:r>
    </w:p>
    <w:p w:rsidR="003A2F03" w:rsidRDefault="003A2F03" w:rsidP="003A2F03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Weakness of planning processes and development of programs/projects</w:t>
      </w:r>
    </w:p>
    <w:p w:rsidR="003A2F03" w:rsidRDefault="003A2F03" w:rsidP="003A2F03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Understand of NAEP by stakeholders very weak</w:t>
      </w:r>
    </w:p>
    <w:p w:rsidR="003A2F03" w:rsidRDefault="003A2F03" w:rsidP="003A2F03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Ownership of NAEP – other ministries thought it was just for MOA extension</w:t>
      </w:r>
    </w:p>
    <w:p w:rsidR="003A2F03" w:rsidRDefault="003A2F03" w:rsidP="003A2F03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Bottom-up </w:t>
      </w:r>
      <w:r w:rsidR="00A37AF9">
        <w:rPr>
          <w:sz w:val="24"/>
          <w:szCs w:val="24"/>
        </w:rPr>
        <w:t xml:space="preserve">extension and advisory services </w:t>
      </w:r>
      <w:r>
        <w:rPr>
          <w:sz w:val="24"/>
          <w:szCs w:val="24"/>
        </w:rPr>
        <w:t>planning was effective but ended when project funds ended</w:t>
      </w:r>
    </w:p>
    <w:p w:rsidR="003A2F03" w:rsidRDefault="003A2F03" w:rsidP="003A2F03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Policy encourages partnerships between different EAS but few examples of working relationships</w:t>
      </w:r>
      <w:r w:rsidR="00A37AF9">
        <w:rPr>
          <w:sz w:val="24"/>
          <w:szCs w:val="24"/>
        </w:rPr>
        <w:t xml:space="preserve"> (contrary to other report)</w:t>
      </w:r>
    </w:p>
    <w:p w:rsidR="003A2F03" w:rsidRDefault="003A2F03" w:rsidP="003A2F03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Committee structures were weak, often inactive, needed clear TORS</w:t>
      </w:r>
    </w:p>
    <w:p w:rsidR="003A2F03" w:rsidRDefault="003A2F03" w:rsidP="003A2F03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Name should be National policy rather than new because many stakeholders</w:t>
      </w:r>
    </w:p>
    <w:p w:rsidR="003A2F03" w:rsidRPr="003A2F03" w:rsidRDefault="003A2F03" w:rsidP="003A2F03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Regular funding is needed</w:t>
      </w:r>
    </w:p>
    <w:p w:rsidR="00B63952" w:rsidRPr="00B63952" w:rsidRDefault="00B63952" w:rsidP="00B63952">
      <w:pPr>
        <w:tabs>
          <w:tab w:val="left" w:pos="720"/>
        </w:tabs>
        <w:ind w:left="720"/>
        <w:rPr>
          <w:sz w:val="24"/>
          <w:szCs w:val="24"/>
        </w:rPr>
      </w:pPr>
    </w:p>
    <w:p w:rsidR="00361600" w:rsidRDefault="00361600" w:rsidP="00361600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sz w:val="24"/>
          <w:szCs w:val="24"/>
        </w:rPr>
        <w:t>Reviewer and Others’ Comments</w:t>
      </w:r>
    </w:p>
    <w:p w:rsidR="00361600" w:rsidRDefault="00DF18CD" w:rsidP="00361600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Appears that the components</w:t>
      </w:r>
      <w:r w:rsidR="00361600">
        <w:rPr>
          <w:sz w:val="24"/>
          <w:szCs w:val="24"/>
        </w:rPr>
        <w:t xml:space="preserve"> are meant to capture pol</w:t>
      </w:r>
      <w:r>
        <w:rPr>
          <w:sz w:val="24"/>
          <w:szCs w:val="24"/>
        </w:rPr>
        <w:t>icy issues</w:t>
      </w:r>
    </w:p>
    <w:p w:rsidR="00361600" w:rsidRPr="00A37AF9" w:rsidRDefault="003A2F03" w:rsidP="00361600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A37AF9">
        <w:rPr>
          <w:sz w:val="24"/>
          <w:szCs w:val="24"/>
        </w:rPr>
        <w:t xml:space="preserve">Consider lessons learned from and weaknesses of the Bangladesh policy </w:t>
      </w:r>
    </w:p>
    <w:sectPr w:rsidR="00361600" w:rsidRPr="00A37AF9" w:rsidSect="00F43E4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7D" w:rsidRDefault="00BA797D" w:rsidP="00DE40FD">
      <w:r>
        <w:separator/>
      </w:r>
    </w:p>
  </w:endnote>
  <w:endnote w:type="continuationSeparator" w:id="0">
    <w:p w:rsidR="00BA797D" w:rsidRDefault="00BA797D" w:rsidP="00DE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7D" w:rsidRDefault="00BA797D" w:rsidP="00DE40FD">
      <w:r>
        <w:separator/>
      </w:r>
    </w:p>
  </w:footnote>
  <w:footnote w:type="continuationSeparator" w:id="0">
    <w:p w:rsidR="00BA797D" w:rsidRDefault="00BA797D" w:rsidP="00DE4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4657"/>
      <w:docPartObj>
        <w:docPartGallery w:val="Page Numbers (Top of Page)"/>
        <w:docPartUnique/>
      </w:docPartObj>
    </w:sdtPr>
    <w:sdtEndPr/>
    <w:sdtContent>
      <w:p w:rsidR="00171614" w:rsidRDefault="00BA797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D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1614" w:rsidRDefault="001716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068D"/>
    <w:multiLevelType w:val="hybridMultilevel"/>
    <w:tmpl w:val="D214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96638"/>
    <w:multiLevelType w:val="hybridMultilevel"/>
    <w:tmpl w:val="F68877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A56FD9"/>
    <w:multiLevelType w:val="hybridMultilevel"/>
    <w:tmpl w:val="33EA17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DB3454"/>
    <w:multiLevelType w:val="hybridMultilevel"/>
    <w:tmpl w:val="78B8A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FB4C2E"/>
    <w:multiLevelType w:val="hybridMultilevel"/>
    <w:tmpl w:val="6E4CF3F8"/>
    <w:lvl w:ilvl="0" w:tplc="DB8400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755CC"/>
    <w:multiLevelType w:val="hybridMultilevel"/>
    <w:tmpl w:val="5626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13E9B"/>
    <w:multiLevelType w:val="hybridMultilevel"/>
    <w:tmpl w:val="0FB62F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371C2D"/>
    <w:multiLevelType w:val="hybridMultilevel"/>
    <w:tmpl w:val="21E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159DF"/>
    <w:multiLevelType w:val="hybridMultilevel"/>
    <w:tmpl w:val="02BE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13894"/>
    <w:multiLevelType w:val="hybridMultilevel"/>
    <w:tmpl w:val="0FB62F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FA"/>
    <w:rsid w:val="00054BFB"/>
    <w:rsid w:val="0005595F"/>
    <w:rsid w:val="00145A26"/>
    <w:rsid w:val="00171614"/>
    <w:rsid w:val="001D071A"/>
    <w:rsid w:val="001D0ABF"/>
    <w:rsid w:val="00210624"/>
    <w:rsid w:val="0022554E"/>
    <w:rsid w:val="002412FA"/>
    <w:rsid w:val="00244553"/>
    <w:rsid w:val="00256A12"/>
    <w:rsid w:val="00273B32"/>
    <w:rsid w:val="002A6BF2"/>
    <w:rsid w:val="002D44AE"/>
    <w:rsid w:val="0033717A"/>
    <w:rsid w:val="00341CF3"/>
    <w:rsid w:val="00361600"/>
    <w:rsid w:val="003760A6"/>
    <w:rsid w:val="00396D50"/>
    <w:rsid w:val="003A2F03"/>
    <w:rsid w:val="0042008A"/>
    <w:rsid w:val="004212B9"/>
    <w:rsid w:val="00432D04"/>
    <w:rsid w:val="004718E4"/>
    <w:rsid w:val="00507AD5"/>
    <w:rsid w:val="005D27FA"/>
    <w:rsid w:val="00682DF7"/>
    <w:rsid w:val="0069164F"/>
    <w:rsid w:val="006E1AF5"/>
    <w:rsid w:val="007307E6"/>
    <w:rsid w:val="0078225E"/>
    <w:rsid w:val="007D4491"/>
    <w:rsid w:val="007E0012"/>
    <w:rsid w:val="008346F3"/>
    <w:rsid w:val="008347D0"/>
    <w:rsid w:val="00897384"/>
    <w:rsid w:val="008A13FF"/>
    <w:rsid w:val="008D09D3"/>
    <w:rsid w:val="00925919"/>
    <w:rsid w:val="00956E98"/>
    <w:rsid w:val="009F2710"/>
    <w:rsid w:val="00A37AF9"/>
    <w:rsid w:val="00A4033F"/>
    <w:rsid w:val="00AD1608"/>
    <w:rsid w:val="00AD30BC"/>
    <w:rsid w:val="00B14547"/>
    <w:rsid w:val="00B14B9D"/>
    <w:rsid w:val="00B469F0"/>
    <w:rsid w:val="00B63952"/>
    <w:rsid w:val="00BA797D"/>
    <w:rsid w:val="00BD05D9"/>
    <w:rsid w:val="00C25405"/>
    <w:rsid w:val="00C63CC9"/>
    <w:rsid w:val="00C8284C"/>
    <w:rsid w:val="00D61649"/>
    <w:rsid w:val="00DE40FD"/>
    <w:rsid w:val="00DF18CD"/>
    <w:rsid w:val="00E024C7"/>
    <w:rsid w:val="00F01B56"/>
    <w:rsid w:val="00F0563C"/>
    <w:rsid w:val="00F31466"/>
    <w:rsid w:val="00F43E49"/>
    <w:rsid w:val="00F6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6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E40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0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0F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E1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AF5"/>
  </w:style>
  <w:style w:type="paragraph" w:styleId="Footer">
    <w:name w:val="footer"/>
    <w:basedOn w:val="Normal"/>
    <w:link w:val="FooterChar"/>
    <w:uiPriority w:val="99"/>
    <w:semiHidden/>
    <w:unhideWhenUsed/>
    <w:rsid w:val="006E1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6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E40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0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0F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E1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AF5"/>
  </w:style>
  <w:style w:type="paragraph" w:styleId="Footer">
    <w:name w:val="footer"/>
    <w:basedOn w:val="Normal"/>
    <w:link w:val="FooterChar"/>
    <w:uiPriority w:val="99"/>
    <w:semiHidden/>
    <w:unhideWhenUsed/>
    <w:rsid w:val="006E1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151BB-D1A6-4B43-B41A-6A374959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Sigman</dc:creator>
  <cp:lastModifiedBy>abohn</cp:lastModifiedBy>
  <cp:revision>2</cp:revision>
  <dcterms:created xsi:type="dcterms:W3CDTF">2012-08-06T20:42:00Z</dcterms:created>
  <dcterms:modified xsi:type="dcterms:W3CDTF">2012-08-06T20:42:00Z</dcterms:modified>
</cp:coreProperties>
</file>