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E9" w:rsidRPr="002D11E9" w:rsidRDefault="002D11E9" w:rsidP="002D11E9">
      <w:pPr>
        <w:autoSpaceDE w:val="0"/>
        <w:autoSpaceDN w:val="0"/>
        <w:adjustRightInd w:val="0"/>
        <w:spacing w:after="0" w:line="240" w:lineRule="auto"/>
        <w:rPr>
          <w:rFonts w:cs="MyriadPro-Semibold"/>
          <w:sz w:val="28"/>
          <w:szCs w:val="28"/>
        </w:rPr>
      </w:pPr>
      <w:r w:rsidRPr="002D11E9">
        <w:rPr>
          <w:rFonts w:cs="MyriadPro-Semibold"/>
          <w:sz w:val="28"/>
          <w:szCs w:val="28"/>
        </w:rPr>
        <w:t>Defining P</w:t>
      </w:r>
      <w:r w:rsidRPr="002D11E9">
        <w:rPr>
          <w:rFonts w:cs="MyriadPro-Semibold"/>
          <w:sz w:val="28"/>
          <w:szCs w:val="28"/>
        </w:rPr>
        <w:t xml:space="preserve">riorities of the </w:t>
      </w:r>
      <w:r w:rsidRPr="002D11E9">
        <w:rPr>
          <w:rFonts w:cs="MyriadPro-Semibold"/>
          <w:sz w:val="28"/>
          <w:szCs w:val="28"/>
        </w:rPr>
        <w:t>National Extension S</w:t>
      </w:r>
      <w:r w:rsidRPr="002D11E9">
        <w:rPr>
          <w:rFonts w:cs="MyriadPro-Semibold"/>
          <w:sz w:val="28"/>
          <w:szCs w:val="28"/>
        </w:rPr>
        <w:t>ervice</w:t>
      </w:r>
    </w:p>
    <w:p w:rsidR="002D11E9" w:rsidRPr="002D11E9" w:rsidRDefault="002D11E9" w:rsidP="002D11E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</w:p>
    <w:p w:rsidR="002D11E9" w:rsidRPr="00D50C51" w:rsidRDefault="00883939" w:rsidP="002D11E9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0"/>
          <w:szCs w:val="20"/>
        </w:rPr>
      </w:pPr>
      <w:r>
        <w:rPr>
          <w:rFonts w:cs="MyriadPro-Bold"/>
          <w:bCs/>
          <w:sz w:val="20"/>
          <w:szCs w:val="20"/>
        </w:rPr>
        <w:t>D</w:t>
      </w:r>
      <w:r w:rsidR="002D11E9" w:rsidRPr="002D11E9">
        <w:rPr>
          <w:rFonts w:cs="MyriadPro-Bold"/>
          <w:bCs/>
          <w:sz w:val="20"/>
          <w:szCs w:val="20"/>
        </w:rPr>
        <w:t>efine priorities</w:t>
      </w:r>
      <w:r w:rsidR="002D11E9">
        <w:rPr>
          <w:rFonts w:cs="MyriadPro-Bold"/>
          <w:bCs/>
          <w:sz w:val="20"/>
          <w:szCs w:val="20"/>
        </w:rPr>
        <w:t xml:space="preserve"> clearly</w:t>
      </w:r>
      <w:r>
        <w:rPr>
          <w:rFonts w:cs="MyriadPro-Bold"/>
          <w:bCs/>
          <w:sz w:val="20"/>
          <w:szCs w:val="20"/>
        </w:rPr>
        <w:t xml:space="preserve"> is essentia</w:t>
      </w:r>
      <w:r w:rsidR="00D50C51">
        <w:rPr>
          <w:rFonts w:cs="MyriadPro-Bold"/>
          <w:bCs/>
          <w:sz w:val="20"/>
          <w:szCs w:val="20"/>
        </w:rPr>
        <w:t>l for s</w:t>
      </w:r>
      <w:r w:rsidR="002D11E9">
        <w:rPr>
          <w:rFonts w:cs="MyriadPro-Bold"/>
          <w:bCs/>
          <w:sz w:val="20"/>
          <w:szCs w:val="20"/>
        </w:rPr>
        <w:t>tructuring, resourcing and traini</w:t>
      </w:r>
      <w:r w:rsidR="00D50C51">
        <w:rPr>
          <w:rFonts w:cs="MyriadPro-Bold"/>
          <w:bCs/>
          <w:sz w:val="20"/>
          <w:szCs w:val="20"/>
        </w:rPr>
        <w:t>ng the extension service and for m</w:t>
      </w:r>
      <w:r w:rsidR="002D11E9">
        <w:rPr>
          <w:rFonts w:cs="MyriadPro-Bold"/>
          <w:bCs/>
          <w:sz w:val="20"/>
          <w:szCs w:val="20"/>
        </w:rPr>
        <w:t xml:space="preserve">onitoring and evaluating its </w:t>
      </w:r>
      <w:r w:rsidR="002D11E9" w:rsidRPr="00D50C51">
        <w:rPr>
          <w:rFonts w:cs="MyriadPro-Bold"/>
          <w:bCs/>
          <w:sz w:val="20"/>
          <w:szCs w:val="20"/>
        </w:rPr>
        <w:t>performance</w:t>
      </w:r>
      <w:r w:rsidR="00D50C51" w:rsidRPr="00D50C51">
        <w:rPr>
          <w:rFonts w:cs="MyriadPro-Bold"/>
          <w:bCs/>
          <w:sz w:val="20"/>
          <w:szCs w:val="20"/>
        </w:rPr>
        <w:t>.</w:t>
      </w:r>
      <w:r w:rsidR="002D11E9" w:rsidRPr="00D50C51">
        <w:rPr>
          <w:rFonts w:cs="MyriadPro-Bold"/>
          <w:bCs/>
          <w:sz w:val="20"/>
          <w:szCs w:val="20"/>
        </w:rPr>
        <w:t xml:space="preserve"> </w:t>
      </w:r>
      <w:r w:rsidR="00D50C51" w:rsidRPr="00D50C51">
        <w:rPr>
          <w:rFonts w:cs="MyriadPro-Bold"/>
          <w:bCs/>
          <w:sz w:val="20"/>
          <w:szCs w:val="20"/>
        </w:rPr>
        <w:t xml:space="preserve"> The focus may change over time depending on circumstances, e.g., natural disasters, new industry, service development by NGOs and private sector. </w:t>
      </w:r>
    </w:p>
    <w:p w:rsidR="002D11E9" w:rsidRPr="002D11E9" w:rsidRDefault="002D11E9" w:rsidP="002D11E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</w:p>
    <w:p w:rsidR="002D11E9" w:rsidRPr="002D11E9" w:rsidRDefault="00D50C51" w:rsidP="002D11E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  <w:r>
        <w:rPr>
          <w:rFonts w:cs="MyriadPro-Bold"/>
          <w:b/>
          <w:bCs/>
          <w:sz w:val="20"/>
          <w:szCs w:val="20"/>
        </w:rPr>
        <w:t>Farmers must have an effective voice in determining national research and extension priorities</w:t>
      </w:r>
      <w:r w:rsidR="0070370D">
        <w:rPr>
          <w:rFonts w:cs="MyriadPro-Bold"/>
          <w:b/>
          <w:bCs/>
          <w:sz w:val="20"/>
          <w:szCs w:val="20"/>
        </w:rPr>
        <w:t xml:space="preserve">—through regular meetings, workshops or farmer advisory groups, or a centrally managed survey. </w:t>
      </w:r>
    </w:p>
    <w:p w:rsidR="002D11E9" w:rsidRPr="002D11E9" w:rsidRDefault="002D11E9" w:rsidP="002D11E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</w:p>
    <w:p w:rsidR="002A4E27" w:rsidRPr="002D11E9" w:rsidRDefault="0070370D" w:rsidP="002D11E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  <w:r>
        <w:rPr>
          <w:rFonts w:cs="MyriadPro-Bold"/>
          <w:b/>
          <w:bCs/>
          <w:sz w:val="20"/>
          <w:szCs w:val="20"/>
        </w:rPr>
        <w:t>Below is an e</w:t>
      </w:r>
      <w:r w:rsidR="002D11E9" w:rsidRPr="002D11E9">
        <w:rPr>
          <w:rFonts w:cs="MyriadPro-Bold"/>
          <w:b/>
          <w:bCs/>
          <w:sz w:val="20"/>
          <w:szCs w:val="20"/>
        </w:rPr>
        <w:t>xample of a priority set</w:t>
      </w:r>
      <w:r w:rsidR="002D11E9" w:rsidRPr="002D11E9">
        <w:rPr>
          <w:rFonts w:cs="MyriadPro-Bold"/>
          <w:b/>
          <w:bCs/>
          <w:sz w:val="20"/>
          <w:szCs w:val="20"/>
        </w:rPr>
        <w:t xml:space="preserve">ting tool that can be used with </w:t>
      </w:r>
      <w:r w:rsidR="002D11E9" w:rsidRPr="002D11E9">
        <w:rPr>
          <w:rFonts w:cs="MyriadPro-Bold"/>
          <w:b/>
          <w:bCs/>
          <w:sz w:val="20"/>
          <w:szCs w:val="20"/>
        </w:rPr>
        <w:t>stakeholders to determine priorities for the extension service</w:t>
      </w:r>
      <w:r w:rsidR="002D11E9" w:rsidRPr="002D11E9">
        <w:rPr>
          <w:rFonts w:cs="MyriadPro-Bold"/>
          <w:b/>
          <w:bCs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Y="4516"/>
        <w:tblW w:w="0" w:type="auto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7465"/>
        <w:gridCol w:w="1885"/>
      </w:tblGrid>
      <w:tr w:rsidR="0070370D" w:rsidRPr="002D11E9" w:rsidTr="0070370D">
        <w:tc>
          <w:tcPr>
            <w:tcW w:w="7465" w:type="dxa"/>
            <w:shd w:val="clear" w:color="auto" w:fill="2E74B5" w:themeFill="accent1" w:themeFillShade="BF"/>
          </w:tcPr>
          <w:p w:rsidR="0070370D" w:rsidRPr="002D11E9" w:rsidRDefault="0070370D" w:rsidP="0070370D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color w:val="FFFFFF"/>
              </w:rPr>
            </w:pPr>
            <w:r w:rsidRPr="002D11E9">
              <w:rPr>
                <w:rFonts w:cs="MyriadPro-Bold"/>
                <w:b/>
                <w:bCs/>
                <w:color w:val="FFFFFF"/>
              </w:rPr>
              <w:t xml:space="preserve">Potential policy </w:t>
            </w:r>
            <w:r>
              <w:rPr>
                <w:rFonts w:cs="MyriadPro-Bold"/>
                <w:b/>
                <w:bCs/>
                <w:color w:val="FFFFFF"/>
              </w:rPr>
              <w:t xml:space="preserve">priorities for agricultural and </w:t>
            </w:r>
            <w:r w:rsidRPr="002D11E9">
              <w:rPr>
                <w:rFonts w:cs="MyriadPro-Bold"/>
                <w:b/>
                <w:bCs/>
                <w:color w:val="FFFFFF"/>
              </w:rPr>
              <w:t>rural extension services</w:t>
            </w:r>
          </w:p>
          <w:p w:rsidR="0070370D" w:rsidRPr="00D50C51" w:rsidRDefault="0070370D" w:rsidP="007037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yriadPro-Bold"/>
                <w:b/>
                <w:bCs/>
                <w:color w:val="FFFFFF"/>
              </w:rPr>
            </w:pPr>
            <w:r w:rsidRPr="00D50C51">
              <w:rPr>
                <w:rFonts w:cs="MyriadPro-Bold"/>
                <w:b/>
                <w:bCs/>
                <w:color w:val="FFFFFF"/>
              </w:rPr>
              <w:t xml:space="preserve">[Specify: national/regional/agricultural industry focus-- </w:t>
            </w:r>
          </w:p>
        </w:tc>
        <w:tc>
          <w:tcPr>
            <w:tcW w:w="1885" w:type="dxa"/>
            <w:shd w:val="clear" w:color="auto" w:fill="2E74B5" w:themeFill="accent1" w:themeFillShade="BF"/>
          </w:tcPr>
          <w:p w:rsidR="0070370D" w:rsidRPr="002D11E9" w:rsidRDefault="0070370D" w:rsidP="0070370D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color w:val="FFFFFF"/>
              </w:rPr>
            </w:pPr>
            <w:r w:rsidRPr="002D11E9">
              <w:rPr>
                <w:rFonts w:cs="MyriadPro-Bold"/>
                <w:b/>
                <w:bCs/>
                <w:color w:val="FFFFFF"/>
              </w:rPr>
              <w:t xml:space="preserve">Priority rating </w:t>
            </w:r>
          </w:p>
          <w:p w:rsidR="0070370D" w:rsidRPr="002D11E9" w:rsidRDefault="0070370D" w:rsidP="0070370D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color w:val="FFFFFF"/>
              </w:rPr>
            </w:pPr>
            <w:r w:rsidRPr="002D11E9">
              <w:rPr>
                <w:rFonts w:cs="MyriadPro-Bold"/>
                <w:b/>
                <w:bCs/>
                <w:color w:val="FFFFFF"/>
              </w:rPr>
              <w:t>1 = low; 10 = high</w:t>
            </w:r>
          </w:p>
        </w:tc>
      </w:tr>
      <w:tr w:rsidR="0070370D" w:rsidRPr="002D11E9" w:rsidTr="0070370D">
        <w:tc>
          <w:tcPr>
            <w:tcW w:w="7465" w:type="dxa"/>
            <w:shd w:val="clear" w:color="auto" w:fill="9CC2E5" w:themeFill="accent1" w:themeFillTint="99"/>
          </w:tcPr>
          <w:p w:rsidR="0070370D" w:rsidRPr="002D11E9" w:rsidRDefault="0070370D" w:rsidP="0070370D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D11E9">
              <w:rPr>
                <w:rFonts w:cs="MyriadPro-Bold"/>
                <w:b/>
                <w:bCs/>
              </w:rPr>
              <w:t xml:space="preserve">Poverty alleviation </w:t>
            </w:r>
            <w:r w:rsidRPr="002D11E9">
              <w:rPr>
                <w:rFonts w:cs="MyriadPro-Regular"/>
              </w:rPr>
              <w:t>– working with NGOs to provide information and facilitative support to individuals and communities, so that they can break out of the poverty cycle and develop new enterprises.</w:t>
            </w:r>
          </w:p>
        </w:tc>
        <w:tc>
          <w:tcPr>
            <w:tcW w:w="1885" w:type="dxa"/>
            <w:shd w:val="clear" w:color="auto" w:fill="9CC2E5" w:themeFill="accent1" w:themeFillTint="99"/>
          </w:tcPr>
          <w:p w:rsidR="0070370D" w:rsidRPr="002D11E9" w:rsidRDefault="0070370D" w:rsidP="0070370D"/>
        </w:tc>
      </w:tr>
      <w:tr w:rsidR="0070370D" w:rsidRPr="002D11E9" w:rsidTr="0070370D">
        <w:tc>
          <w:tcPr>
            <w:tcW w:w="7465" w:type="dxa"/>
            <w:shd w:val="clear" w:color="auto" w:fill="DEEAF6" w:themeFill="accent1" w:themeFillTint="33"/>
          </w:tcPr>
          <w:p w:rsidR="0070370D" w:rsidRPr="002D11E9" w:rsidRDefault="0070370D" w:rsidP="0070370D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D11E9">
              <w:rPr>
                <w:rFonts w:cs="MyriadPro-Bold"/>
                <w:b/>
                <w:bCs/>
              </w:rPr>
              <w:t xml:space="preserve">Reaching vulnerable groups </w:t>
            </w:r>
            <w:r w:rsidRPr="002D11E9">
              <w:rPr>
                <w:rFonts w:cs="MyriadPro-Regular"/>
              </w:rPr>
              <w:t>– providing targeted support for building capacity in women, youth or disadvantaged groups to enable them to better thrive within the broader community.</w:t>
            </w:r>
          </w:p>
        </w:tc>
        <w:tc>
          <w:tcPr>
            <w:tcW w:w="1885" w:type="dxa"/>
            <w:shd w:val="clear" w:color="auto" w:fill="DEEAF6" w:themeFill="accent1" w:themeFillTint="33"/>
          </w:tcPr>
          <w:p w:rsidR="0070370D" w:rsidRPr="002D11E9" w:rsidRDefault="0070370D" w:rsidP="0070370D"/>
        </w:tc>
      </w:tr>
      <w:tr w:rsidR="0070370D" w:rsidRPr="002D11E9" w:rsidTr="0070370D">
        <w:tc>
          <w:tcPr>
            <w:tcW w:w="7465" w:type="dxa"/>
            <w:shd w:val="clear" w:color="auto" w:fill="9CC2E5" w:themeFill="accent1" w:themeFillTint="99"/>
          </w:tcPr>
          <w:p w:rsidR="0070370D" w:rsidRPr="002D11E9" w:rsidRDefault="0070370D" w:rsidP="0070370D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</w:rPr>
            </w:pPr>
            <w:r w:rsidRPr="002D11E9">
              <w:rPr>
                <w:rFonts w:cs="MyriadPro-Bold"/>
                <w:b/>
                <w:bCs/>
              </w:rPr>
              <w:t>Maximizing productivity and economic benefits</w:t>
            </w:r>
          </w:p>
          <w:p w:rsidR="0070370D" w:rsidRPr="002D11E9" w:rsidRDefault="0070370D" w:rsidP="0070370D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D11E9">
              <w:rPr>
                <w:rFonts w:cs="MyriadPro-Regular"/>
              </w:rPr>
              <w:t>– providing technical and business information and support to farms and rural business to allow them to maximize output and efficiency, and thus returns.</w:t>
            </w:r>
          </w:p>
        </w:tc>
        <w:tc>
          <w:tcPr>
            <w:tcW w:w="1885" w:type="dxa"/>
            <w:shd w:val="clear" w:color="auto" w:fill="9CC2E5" w:themeFill="accent1" w:themeFillTint="99"/>
          </w:tcPr>
          <w:p w:rsidR="0070370D" w:rsidRPr="002D11E9" w:rsidRDefault="0070370D" w:rsidP="0070370D"/>
        </w:tc>
      </w:tr>
      <w:tr w:rsidR="0070370D" w:rsidRPr="002D11E9" w:rsidTr="0070370D">
        <w:tc>
          <w:tcPr>
            <w:tcW w:w="7465" w:type="dxa"/>
            <w:shd w:val="clear" w:color="auto" w:fill="DEEAF6" w:themeFill="accent1" w:themeFillTint="33"/>
          </w:tcPr>
          <w:p w:rsidR="0070370D" w:rsidRPr="002D11E9" w:rsidRDefault="0070370D" w:rsidP="0070370D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D11E9">
              <w:rPr>
                <w:rFonts w:cs="MyriadPro-Bold"/>
                <w:b/>
                <w:bCs/>
              </w:rPr>
              <w:t xml:space="preserve">Ensuring biosecurity </w:t>
            </w:r>
            <w:r w:rsidRPr="002D11E9">
              <w:rPr>
                <w:rFonts w:cs="MyriadPro-Regular"/>
              </w:rPr>
              <w:t>– raising awareness of the need for biosecurity, regulations and guidelines and how people can protect the nation and its industries and environment.</w:t>
            </w:r>
          </w:p>
        </w:tc>
        <w:tc>
          <w:tcPr>
            <w:tcW w:w="1885" w:type="dxa"/>
            <w:shd w:val="clear" w:color="auto" w:fill="DEEAF6" w:themeFill="accent1" w:themeFillTint="33"/>
          </w:tcPr>
          <w:p w:rsidR="0070370D" w:rsidRPr="002D11E9" w:rsidRDefault="0070370D" w:rsidP="0070370D"/>
        </w:tc>
      </w:tr>
      <w:tr w:rsidR="0070370D" w:rsidRPr="002D11E9" w:rsidTr="0070370D">
        <w:tc>
          <w:tcPr>
            <w:tcW w:w="7465" w:type="dxa"/>
            <w:shd w:val="clear" w:color="auto" w:fill="9CC2E5" w:themeFill="accent1" w:themeFillTint="99"/>
          </w:tcPr>
          <w:p w:rsidR="0070370D" w:rsidRPr="002D11E9" w:rsidRDefault="0070370D" w:rsidP="0070370D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D11E9">
              <w:rPr>
                <w:rFonts w:cs="MyriadPro-Bold"/>
                <w:b/>
                <w:bCs/>
              </w:rPr>
              <w:t xml:space="preserve">Protecting the environment </w:t>
            </w:r>
            <w:r w:rsidRPr="002D11E9">
              <w:rPr>
                <w:rFonts w:cs="MyriadPro-Regular"/>
              </w:rPr>
              <w:t>– ensuring that people have the awareness, knowledge and motivation to minimize environmental damage and protect biodiversity.</w:t>
            </w:r>
          </w:p>
        </w:tc>
        <w:tc>
          <w:tcPr>
            <w:tcW w:w="1885" w:type="dxa"/>
            <w:shd w:val="clear" w:color="auto" w:fill="9CC2E5" w:themeFill="accent1" w:themeFillTint="99"/>
          </w:tcPr>
          <w:p w:rsidR="0070370D" w:rsidRPr="002D11E9" w:rsidRDefault="0070370D" w:rsidP="0070370D"/>
        </w:tc>
      </w:tr>
      <w:tr w:rsidR="0070370D" w:rsidRPr="002D11E9" w:rsidTr="0070370D">
        <w:tc>
          <w:tcPr>
            <w:tcW w:w="7465" w:type="dxa"/>
            <w:shd w:val="clear" w:color="auto" w:fill="DEEAF6" w:themeFill="accent1" w:themeFillTint="33"/>
          </w:tcPr>
          <w:p w:rsidR="0070370D" w:rsidRPr="002D11E9" w:rsidRDefault="0070370D" w:rsidP="0070370D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D11E9">
              <w:rPr>
                <w:rFonts w:cs="MyriadPro-Bold"/>
                <w:b/>
                <w:bCs/>
              </w:rPr>
              <w:t xml:space="preserve">Adapting to climate change </w:t>
            </w:r>
            <w:r w:rsidRPr="002D11E9">
              <w:rPr>
                <w:rFonts w:cs="MyriadPro-Regular"/>
              </w:rPr>
              <w:t>– working with communities and industries to understand ways to better manage climate variability and put in place means of addressing and adapting to longer term climate change.</w:t>
            </w:r>
          </w:p>
        </w:tc>
        <w:tc>
          <w:tcPr>
            <w:tcW w:w="1885" w:type="dxa"/>
            <w:shd w:val="clear" w:color="auto" w:fill="DEEAF6" w:themeFill="accent1" w:themeFillTint="33"/>
          </w:tcPr>
          <w:p w:rsidR="0070370D" w:rsidRPr="002D11E9" w:rsidRDefault="0070370D" w:rsidP="0070370D"/>
        </w:tc>
      </w:tr>
      <w:tr w:rsidR="0070370D" w:rsidRPr="002D11E9" w:rsidTr="0070370D">
        <w:tc>
          <w:tcPr>
            <w:tcW w:w="7465" w:type="dxa"/>
            <w:shd w:val="clear" w:color="auto" w:fill="9CC2E5" w:themeFill="accent1" w:themeFillTint="99"/>
          </w:tcPr>
          <w:p w:rsidR="0070370D" w:rsidRPr="002D11E9" w:rsidRDefault="0070370D" w:rsidP="0070370D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D11E9">
              <w:rPr>
                <w:rFonts w:cs="MyriadPro-Bold"/>
                <w:b/>
                <w:bCs/>
              </w:rPr>
              <w:t xml:space="preserve">Developing value chains </w:t>
            </w:r>
            <w:r w:rsidRPr="002D11E9">
              <w:rPr>
                <w:rFonts w:cs="MyriadPro-Regular"/>
              </w:rPr>
              <w:t>– working with stakeholders from across the value chain, including farmers, agribusiness, NGOs, and processing and marketing organizations to ensure maximum efficiencies and benefits to each sector and the broader community.</w:t>
            </w:r>
          </w:p>
        </w:tc>
        <w:tc>
          <w:tcPr>
            <w:tcW w:w="1885" w:type="dxa"/>
            <w:shd w:val="clear" w:color="auto" w:fill="9CC2E5" w:themeFill="accent1" w:themeFillTint="99"/>
          </w:tcPr>
          <w:p w:rsidR="0070370D" w:rsidRPr="002D11E9" w:rsidRDefault="0070370D" w:rsidP="0070370D"/>
        </w:tc>
      </w:tr>
    </w:tbl>
    <w:p w:rsidR="0070370D" w:rsidRDefault="0070370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</w:p>
    <w:p w:rsidR="0070370D" w:rsidRPr="0070370D" w:rsidRDefault="0070370D" w:rsidP="0070370D">
      <w:pPr>
        <w:rPr>
          <w:rFonts w:cs="MyriadPro-Bold"/>
          <w:sz w:val="20"/>
          <w:szCs w:val="20"/>
        </w:rPr>
      </w:pPr>
    </w:p>
    <w:p w:rsidR="0070370D" w:rsidRPr="0070370D" w:rsidRDefault="0070370D" w:rsidP="0070370D">
      <w:pPr>
        <w:rPr>
          <w:rFonts w:cs="MyriadPro-Bold"/>
          <w:sz w:val="20"/>
          <w:szCs w:val="20"/>
        </w:rPr>
      </w:pPr>
      <w:r>
        <w:rPr>
          <w:rFonts w:cs="MyriadPro-Bold"/>
          <w:sz w:val="20"/>
          <w:szCs w:val="20"/>
        </w:rPr>
        <w:t>Source: Policy Brief 12/2010: Developing a Policy Framework for Extension Systems. Secretariat of the Pacific Communities. www.spc.int</w:t>
      </w:r>
    </w:p>
    <w:p w:rsidR="0070370D" w:rsidRPr="0070370D" w:rsidRDefault="0070370D" w:rsidP="0070370D">
      <w:pPr>
        <w:rPr>
          <w:rFonts w:cs="MyriadPro-Bold"/>
          <w:sz w:val="20"/>
          <w:szCs w:val="20"/>
        </w:rPr>
      </w:pPr>
    </w:p>
    <w:p w:rsidR="0070370D" w:rsidRPr="0070370D" w:rsidRDefault="0070370D" w:rsidP="0070370D">
      <w:pPr>
        <w:rPr>
          <w:rFonts w:cs="MyriadPro-Bold"/>
          <w:sz w:val="20"/>
          <w:szCs w:val="20"/>
        </w:rPr>
      </w:pPr>
      <w:bookmarkStart w:id="0" w:name="_GoBack"/>
      <w:bookmarkEnd w:id="0"/>
    </w:p>
    <w:p w:rsidR="0070370D" w:rsidRPr="0070370D" w:rsidRDefault="0070370D" w:rsidP="0070370D">
      <w:pPr>
        <w:rPr>
          <w:rFonts w:cs="MyriadPro-Bold"/>
          <w:sz w:val="20"/>
          <w:szCs w:val="20"/>
        </w:rPr>
      </w:pPr>
    </w:p>
    <w:p w:rsidR="0070370D" w:rsidRPr="0070370D" w:rsidRDefault="0070370D" w:rsidP="0070370D">
      <w:pPr>
        <w:rPr>
          <w:rFonts w:cs="MyriadPro-Bold"/>
          <w:sz w:val="20"/>
          <w:szCs w:val="20"/>
        </w:rPr>
      </w:pPr>
    </w:p>
    <w:p w:rsidR="0070370D" w:rsidRPr="0070370D" w:rsidRDefault="0070370D" w:rsidP="0070370D">
      <w:pPr>
        <w:rPr>
          <w:rFonts w:cs="MyriadPro-Bold"/>
          <w:sz w:val="20"/>
          <w:szCs w:val="20"/>
        </w:rPr>
      </w:pPr>
    </w:p>
    <w:p w:rsidR="0070370D" w:rsidRPr="0070370D" w:rsidRDefault="0070370D" w:rsidP="0070370D">
      <w:pPr>
        <w:rPr>
          <w:rFonts w:cs="MyriadPro-Bold"/>
          <w:sz w:val="20"/>
          <w:szCs w:val="20"/>
        </w:rPr>
      </w:pPr>
    </w:p>
    <w:p w:rsidR="0070370D" w:rsidRPr="0070370D" w:rsidRDefault="0070370D" w:rsidP="0070370D">
      <w:pPr>
        <w:rPr>
          <w:rFonts w:cs="MyriadPro-Bold"/>
          <w:sz w:val="20"/>
          <w:szCs w:val="20"/>
        </w:rPr>
      </w:pPr>
    </w:p>
    <w:p w:rsidR="0070370D" w:rsidRPr="0070370D" w:rsidRDefault="0070370D" w:rsidP="0070370D">
      <w:pPr>
        <w:rPr>
          <w:rFonts w:cs="MyriadPro-Bold"/>
          <w:sz w:val="20"/>
          <w:szCs w:val="20"/>
        </w:rPr>
      </w:pPr>
    </w:p>
    <w:p w:rsidR="0070370D" w:rsidRPr="0070370D" w:rsidRDefault="0070370D" w:rsidP="0070370D">
      <w:pPr>
        <w:rPr>
          <w:rFonts w:cs="MyriadPro-Bold"/>
          <w:sz w:val="20"/>
          <w:szCs w:val="20"/>
        </w:rPr>
      </w:pPr>
    </w:p>
    <w:p w:rsidR="0070370D" w:rsidRPr="0070370D" w:rsidRDefault="0070370D" w:rsidP="0070370D">
      <w:pPr>
        <w:rPr>
          <w:rFonts w:cs="MyriadPro-Bold"/>
          <w:sz w:val="20"/>
          <w:szCs w:val="20"/>
        </w:rPr>
      </w:pPr>
    </w:p>
    <w:p w:rsidR="0070370D" w:rsidRPr="0070370D" w:rsidRDefault="0070370D" w:rsidP="0070370D">
      <w:pPr>
        <w:rPr>
          <w:rFonts w:cs="MyriadPro-Bold"/>
          <w:sz w:val="20"/>
          <w:szCs w:val="20"/>
        </w:rPr>
      </w:pPr>
    </w:p>
    <w:p w:rsidR="0070370D" w:rsidRPr="0070370D" w:rsidRDefault="0070370D" w:rsidP="0070370D">
      <w:pPr>
        <w:rPr>
          <w:rFonts w:cs="MyriadPro-Bold"/>
          <w:sz w:val="20"/>
          <w:szCs w:val="20"/>
        </w:rPr>
      </w:pPr>
    </w:p>
    <w:p w:rsidR="0070370D" w:rsidRPr="0070370D" w:rsidRDefault="0070370D" w:rsidP="0070370D">
      <w:pPr>
        <w:rPr>
          <w:rFonts w:cs="MyriadPro-Bold"/>
          <w:sz w:val="20"/>
          <w:szCs w:val="20"/>
        </w:rPr>
      </w:pPr>
    </w:p>
    <w:p w:rsidR="0070370D" w:rsidRPr="0070370D" w:rsidRDefault="0070370D" w:rsidP="0070370D">
      <w:pPr>
        <w:rPr>
          <w:rFonts w:cs="MyriadPro-Bold"/>
          <w:sz w:val="20"/>
          <w:szCs w:val="20"/>
        </w:rPr>
      </w:pPr>
    </w:p>
    <w:p w:rsidR="00D50C51" w:rsidRPr="0070370D" w:rsidRDefault="00D50C51" w:rsidP="0070370D">
      <w:pPr>
        <w:rPr>
          <w:rFonts w:cs="MyriadPro-Bold"/>
          <w:sz w:val="20"/>
          <w:szCs w:val="20"/>
        </w:rPr>
      </w:pPr>
    </w:p>
    <w:sectPr w:rsidR="00D50C51" w:rsidRPr="0070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435"/>
    <w:multiLevelType w:val="hybridMultilevel"/>
    <w:tmpl w:val="CFAA25DE"/>
    <w:lvl w:ilvl="0" w:tplc="6706EE2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MyriadPro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E9"/>
    <w:rsid w:val="002A4E27"/>
    <w:rsid w:val="002D11E9"/>
    <w:rsid w:val="0070370D"/>
    <w:rsid w:val="00883939"/>
    <w:rsid w:val="00D5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21B89-77D9-4DEC-A795-CF4B4513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Heinz, Kathryn Rose</dc:creator>
  <cp:keywords/>
  <dc:description/>
  <cp:lastModifiedBy>Heinz, Kathryn Rose</cp:lastModifiedBy>
  <cp:revision>1</cp:revision>
  <dcterms:created xsi:type="dcterms:W3CDTF">2014-08-18T16:58:00Z</dcterms:created>
  <dcterms:modified xsi:type="dcterms:W3CDTF">2014-08-18T19:29:00Z</dcterms:modified>
</cp:coreProperties>
</file>