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63058" w14:textId="77777777" w:rsidR="00B65C25" w:rsidRDefault="00B65C25" w:rsidP="00B65C25">
      <w:pPr>
        <w:jc w:val="center"/>
        <w:rPr>
          <w:b/>
        </w:rPr>
      </w:pPr>
      <w:r>
        <w:rPr>
          <w:b/>
        </w:rPr>
        <w:t>Workshop on Approaches and Methods for Policy Process Research</w:t>
      </w:r>
    </w:p>
    <w:p w14:paraId="18B9850D" w14:textId="77777777" w:rsidR="00B65C25" w:rsidRDefault="00B65C25" w:rsidP="00B65C25">
      <w:pPr>
        <w:jc w:val="center"/>
        <w:rPr>
          <w:b/>
        </w:rPr>
      </w:pPr>
    </w:p>
    <w:p w14:paraId="2031F879" w14:textId="77777777" w:rsidR="00B65C25" w:rsidRDefault="00B65C25" w:rsidP="00B65C25">
      <w:pPr>
        <w:jc w:val="center"/>
        <w:rPr>
          <w:b/>
        </w:rPr>
      </w:pPr>
      <w:r>
        <w:rPr>
          <w:b/>
        </w:rPr>
        <w:t>Sponsored by the CGIAR Research Programs on Policies, Institutions and Markets (PIM) and Agriculture for Nutrition and Health (A4NH)</w:t>
      </w:r>
    </w:p>
    <w:p w14:paraId="38160F00" w14:textId="77777777" w:rsidR="00B65C25" w:rsidRDefault="00B65C25" w:rsidP="00B65C25">
      <w:pPr>
        <w:jc w:val="center"/>
        <w:rPr>
          <w:b/>
        </w:rPr>
      </w:pPr>
      <w:r>
        <w:rPr>
          <w:b/>
        </w:rPr>
        <w:t xml:space="preserve">IFPRI-Washington DC </w:t>
      </w:r>
    </w:p>
    <w:p w14:paraId="414A530F" w14:textId="77777777" w:rsidR="00B65C25" w:rsidRPr="00B03387" w:rsidRDefault="00B65C25" w:rsidP="00B65C25">
      <w:pPr>
        <w:jc w:val="center"/>
        <w:rPr>
          <w:b/>
        </w:rPr>
      </w:pPr>
      <w:r>
        <w:rPr>
          <w:b/>
        </w:rPr>
        <w:t>Nov 18-20, 2013</w:t>
      </w:r>
    </w:p>
    <w:p w14:paraId="5B613B0B" w14:textId="77777777" w:rsidR="00B65C25" w:rsidRDefault="00B65C25" w:rsidP="00B65C25">
      <w:pPr>
        <w:rPr>
          <w:b/>
        </w:rPr>
      </w:pPr>
    </w:p>
    <w:p w14:paraId="3C22F19C" w14:textId="77777777" w:rsidR="00B65C25" w:rsidRDefault="00B65C25" w:rsidP="00B65C25">
      <w:r>
        <w:rPr>
          <w:b/>
        </w:rPr>
        <w:t>Background and o</w:t>
      </w:r>
      <w:r w:rsidRPr="00117A8C">
        <w:rPr>
          <w:b/>
        </w:rPr>
        <w:t>bjective</w:t>
      </w:r>
      <w:r>
        <w:rPr>
          <w:b/>
        </w:rPr>
        <w:t>s</w:t>
      </w:r>
    </w:p>
    <w:p w14:paraId="239BB4A2" w14:textId="77777777" w:rsidR="00B65C25" w:rsidRDefault="00B65C25" w:rsidP="00B65C25"/>
    <w:p w14:paraId="276D5EDB" w14:textId="77777777" w:rsidR="00B65C25" w:rsidRDefault="00B65C25" w:rsidP="00B65C25">
      <w:pPr>
        <w:rPr>
          <w:rFonts w:cstheme="minorHAnsi"/>
          <w:color w:val="000000"/>
        </w:rPr>
      </w:pPr>
      <w:r>
        <w:t xml:space="preserve">CGIAR Research Programs (CRPs) are required to show how their work contributes to development outcomes such as changes in policies.  </w:t>
      </w:r>
      <w:r w:rsidRPr="00575A58">
        <w:rPr>
          <w:rFonts w:cstheme="minorHAnsi"/>
          <w:color w:val="000000"/>
        </w:rPr>
        <w:t xml:space="preserve">While better evidence </w:t>
      </w:r>
      <w:r>
        <w:rPr>
          <w:rFonts w:cstheme="minorHAnsi"/>
          <w:color w:val="000000"/>
        </w:rPr>
        <w:t>has the potential to improve</w:t>
      </w:r>
      <w:r w:rsidRPr="00575A58">
        <w:rPr>
          <w:rFonts w:cstheme="minorHAnsi"/>
          <w:color w:val="000000"/>
        </w:rPr>
        <w:t xml:space="preserve"> decision</w:t>
      </w:r>
      <w:r>
        <w:rPr>
          <w:rFonts w:cstheme="minorHAnsi"/>
          <w:color w:val="000000"/>
        </w:rPr>
        <w:t>-</w:t>
      </w:r>
      <w:r w:rsidRPr="00575A58">
        <w:rPr>
          <w:rFonts w:cstheme="minorHAnsi"/>
          <w:color w:val="000000"/>
        </w:rPr>
        <w:t xml:space="preserve">making, it is </w:t>
      </w:r>
      <w:r>
        <w:rPr>
          <w:rFonts w:cstheme="minorHAnsi"/>
          <w:color w:val="000000"/>
        </w:rPr>
        <w:t>in</w:t>
      </w:r>
      <w:r w:rsidRPr="00575A58">
        <w:rPr>
          <w:rFonts w:cstheme="minorHAnsi"/>
          <w:color w:val="000000"/>
        </w:rPr>
        <w:t xml:space="preserve">sufficient </w:t>
      </w:r>
      <w:r>
        <w:rPr>
          <w:rFonts w:cstheme="minorHAnsi"/>
          <w:color w:val="000000"/>
        </w:rPr>
        <w:t>for</w:t>
      </w:r>
      <w:r w:rsidRPr="00575A58">
        <w:rPr>
          <w:rFonts w:cstheme="minorHAnsi"/>
          <w:color w:val="000000"/>
        </w:rPr>
        <w:t xml:space="preserve"> achieving policy impacts. That evidence needs to be communicated effectively so that it is useful to </w:t>
      </w:r>
      <w:r>
        <w:rPr>
          <w:rFonts w:cstheme="minorHAnsi"/>
          <w:color w:val="000000"/>
        </w:rPr>
        <w:t xml:space="preserve">targeted </w:t>
      </w:r>
      <w:r w:rsidRPr="00575A58">
        <w:rPr>
          <w:rFonts w:cstheme="minorHAnsi"/>
          <w:color w:val="000000"/>
        </w:rPr>
        <w:t>decision</w:t>
      </w:r>
      <w:r>
        <w:rPr>
          <w:rFonts w:cstheme="minorHAnsi"/>
          <w:color w:val="000000"/>
        </w:rPr>
        <w:t>-</w:t>
      </w:r>
      <w:r w:rsidRPr="00575A58">
        <w:rPr>
          <w:rFonts w:cstheme="minorHAnsi"/>
          <w:color w:val="000000"/>
        </w:rPr>
        <w:t xml:space="preserve">makers, and </w:t>
      </w:r>
      <w:r>
        <w:rPr>
          <w:rFonts w:cstheme="minorHAnsi"/>
          <w:color w:val="000000"/>
        </w:rPr>
        <w:t>decision-makers</w:t>
      </w:r>
      <w:r w:rsidRPr="00575A58">
        <w:rPr>
          <w:rFonts w:cstheme="minorHAnsi"/>
          <w:color w:val="000000"/>
        </w:rPr>
        <w:t xml:space="preserve"> need to have </w:t>
      </w:r>
      <w:r>
        <w:rPr>
          <w:rFonts w:cstheme="minorHAnsi"/>
          <w:color w:val="000000"/>
        </w:rPr>
        <w:t xml:space="preserve">the </w:t>
      </w:r>
      <w:r w:rsidRPr="00575A58">
        <w:rPr>
          <w:rFonts w:cstheme="minorHAnsi"/>
          <w:color w:val="000000"/>
        </w:rPr>
        <w:t>incentive</w:t>
      </w:r>
      <w:r>
        <w:rPr>
          <w:rFonts w:cstheme="minorHAnsi"/>
          <w:color w:val="000000"/>
        </w:rPr>
        <w:t>s</w:t>
      </w:r>
      <w:r w:rsidRPr="00575A58">
        <w:rPr>
          <w:rFonts w:cstheme="minorHAnsi"/>
          <w:color w:val="000000"/>
        </w:rPr>
        <w:t xml:space="preserve"> and </w:t>
      </w:r>
      <w:r>
        <w:rPr>
          <w:rFonts w:cstheme="minorHAnsi"/>
          <w:color w:val="000000"/>
        </w:rPr>
        <w:t xml:space="preserve">the </w:t>
      </w:r>
      <w:r w:rsidRPr="00575A58">
        <w:rPr>
          <w:rFonts w:cstheme="minorHAnsi"/>
          <w:color w:val="000000"/>
        </w:rPr>
        <w:t xml:space="preserve">capacity to use it. </w:t>
      </w:r>
      <w:r>
        <w:rPr>
          <w:rFonts w:cstheme="minorHAnsi"/>
          <w:color w:val="000000"/>
        </w:rPr>
        <w:t xml:space="preserve"> This requires that researchers and their partners understand how policy processes work and how they can be influenced. Deliberate strategies to influence policy can also be the basis for assessing the extent to which research has contributed to a change in a policy or in the policy process—for example by influencing the discourse, attitudes, behaviors or actions of decision-makers.  </w:t>
      </w:r>
    </w:p>
    <w:p w14:paraId="29DCAD49" w14:textId="77777777" w:rsidR="00B65C25" w:rsidRDefault="00B65C25" w:rsidP="00B65C25">
      <w:pPr>
        <w:rPr>
          <w:rFonts w:cstheme="minorHAnsi"/>
          <w:color w:val="000000"/>
        </w:rPr>
      </w:pPr>
    </w:p>
    <w:p w14:paraId="11F08611" w14:textId="77777777" w:rsidR="00B65C25" w:rsidRDefault="00B65C25" w:rsidP="00B65C25">
      <w:pPr>
        <w:spacing w:after="120"/>
      </w:pPr>
      <w:r>
        <w:rPr>
          <w:rFonts w:cstheme="minorHAnsi"/>
          <w:color w:val="000000"/>
        </w:rPr>
        <w:t>To increase the capacity of CRPs to generate policy-relevant evidence and to increase the likelihood that the evidence is effectively used by decision-makers, we will host a small number of experts with experience in analyzing and engaging in policy processes within and across sectors including agriculture, natural resource management, nutrition and health.  They will share methods and approaches for the study of interactions among people and public policy, including</w:t>
      </w:r>
      <w:r w:rsidRPr="00117A8C">
        <w:t>:</w:t>
      </w:r>
    </w:p>
    <w:p w14:paraId="5353E4A9" w14:textId="77777777" w:rsidR="00B65C25" w:rsidRPr="00117A8C" w:rsidRDefault="00B65C25" w:rsidP="00B65C25">
      <w:pPr>
        <w:numPr>
          <w:ilvl w:val="0"/>
          <w:numId w:val="7"/>
        </w:numPr>
      </w:pPr>
      <w:r>
        <w:t>A</w:t>
      </w:r>
      <w:r w:rsidRPr="00117A8C">
        <w:t>nalyzing policy processes</w:t>
      </w:r>
      <w:r>
        <w:t>;</w:t>
      </w:r>
    </w:p>
    <w:p w14:paraId="547800DC" w14:textId="77777777" w:rsidR="00B65C25" w:rsidRPr="007A17C9" w:rsidRDefault="00B65C25" w:rsidP="00B65C25">
      <w:pPr>
        <w:numPr>
          <w:ilvl w:val="0"/>
          <w:numId w:val="7"/>
        </w:numPr>
      </w:pPr>
      <w:r>
        <w:t>U</w:t>
      </w:r>
      <w:r w:rsidRPr="007A17C9">
        <w:t>sing research evidence to influence/engage with policy processes</w:t>
      </w:r>
      <w:r>
        <w:t>;</w:t>
      </w:r>
      <w:r w:rsidRPr="007A17C9">
        <w:t xml:space="preserve"> and </w:t>
      </w:r>
    </w:p>
    <w:p w14:paraId="1AC5CD1E" w14:textId="77777777" w:rsidR="00B65C25" w:rsidRPr="007A17C9" w:rsidRDefault="00B65C25" w:rsidP="00B65C25">
      <w:pPr>
        <w:numPr>
          <w:ilvl w:val="0"/>
          <w:numId w:val="7"/>
        </w:numPr>
      </w:pPr>
      <w:r>
        <w:t>E</w:t>
      </w:r>
      <w:r w:rsidRPr="007A17C9">
        <w:t xml:space="preserve">valuating the </w:t>
      </w:r>
      <w:r>
        <w:t>contribution</w:t>
      </w:r>
      <w:r w:rsidRPr="007A17C9">
        <w:t xml:space="preserve"> of research </w:t>
      </w:r>
      <w:r>
        <w:t xml:space="preserve">to </w:t>
      </w:r>
      <w:r w:rsidRPr="007A17C9">
        <w:t>policy formulation and implementation.</w:t>
      </w:r>
      <w:r>
        <w:t xml:space="preserve"> </w:t>
      </w:r>
    </w:p>
    <w:p w14:paraId="315ABF88" w14:textId="77777777" w:rsidR="00B65C25" w:rsidRDefault="00B65C25" w:rsidP="00B65C25">
      <w:pPr>
        <w:rPr>
          <w:b/>
        </w:rPr>
      </w:pPr>
    </w:p>
    <w:p w14:paraId="017290C3" w14:textId="77777777" w:rsidR="00B65C25" w:rsidRDefault="00B65C25" w:rsidP="00B65C25">
      <w:pPr>
        <w:rPr>
          <w:rFonts w:cstheme="minorHAnsi"/>
        </w:rPr>
      </w:pPr>
      <w:r>
        <w:rPr>
          <w:rFonts w:cstheme="minorHAnsi"/>
        </w:rPr>
        <w:t>We will also invite researchers associated with PIM and A4NH to present ongoing work on policy analysis and influence that they feel can be strengthened by engagement with external experts and the other workshop participants.  The workshop will consist of a combination of presentations and working group sessions focused on de</w:t>
      </w:r>
      <w:bookmarkStart w:id="0" w:name="_GoBack"/>
      <w:bookmarkEnd w:id="0"/>
      <w:r>
        <w:rPr>
          <w:rFonts w:cstheme="minorHAnsi"/>
        </w:rPr>
        <w:t xml:space="preserve">veloping key lessons from the case studies.  Presented studies do not require advanced research results, but the presenters must have a good understanding of the policy context they hope to influence.  </w:t>
      </w:r>
    </w:p>
    <w:p w14:paraId="23283FD7" w14:textId="77777777" w:rsidR="00B65C25" w:rsidRDefault="00B65C25" w:rsidP="00B65C25">
      <w:pPr>
        <w:rPr>
          <w:rFonts w:cstheme="minorHAnsi"/>
        </w:rPr>
      </w:pPr>
    </w:p>
    <w:p w14:paraId="5A25DB05" w14:textId="77777777" w:rsidR="00B65C25" w:rsidRPr="00886CFA" w:rsidRDefault="00B65C25" w:rsidP="00B65C25">
      <w:pPr>
        <w:rPr>
          <w:rFonts w:cstheme="minorHAnsi"/>
          <w:b/>
        </w:rPr>
      </w:pPr>
      <w:r w:rsidRPr="00886CFA">
        <w:rPr>
          <w:rFonts w:cstheme="minorHAnsi"/>
          <w:b/>
        </w:rPr>
        <w:t>Workshop outputs</w:t>
      </w:r>
    </w:p>
    <w:p w14:paraId="795031D5" w14:textId="77777777" w:rsidR="00B65C25" w:rsidRDefault="00B65C25" w:rsidP="00B65C25">
      <w:pPr>
        <w:rPr>
          <w:rFonts w:cstheme="minorHAnsi"/>
        </w:rPr>
      </w:pPr>
    </w:p>
    <w:p w14:paraId="1494A6E7" w14:textId="77777777" w:rsidR="00B65C25" w:rsidRDefault="00B65C25" w:rsidP="00B65C25">
      <w:pPr>
        <w:pStyle w:val="ListParagraph"/>
        <w:numPr>
          <w:ilvl w:val="1"/>
          <w:numId w:val="8"/>
        </w:numPr>
      </w:pPr>
      <w:r>
        <w:t>Development of a toolkit/guide or other flagship product providing guidance on how to understand policy processes to connect research to policy</w:t>
      </w:r>
    </w:p>
    <w:p w14:paraId="25D39C66" w14:textId="77777777" w:rsidR="00B65C25" w:rsidRDefault="00B65C25" w:rsidP="00B65C25">
      <w:pPr>
        <w:pStyle w:val="ListParagraph"/>
        <w:numPr>
          <w:ilvl w:val="1"/>
          <w:numId w:val="8"/>
        </w:numPr>
      </w:pPr>
      <w:r>
        <w:t xml:space="preserve">Working papers and possibly a special issue of a journal </w:t>
      </w:r>
    </w:p>
    <w:p w14:paraId="4223BC89" w14:textId="77777777" w:rsidR="00B65C25" w:rsidRPr="002960FF" w:rsidRDefault="00B65C25" w:rsidP="00B65C25">
      <w:pPr>
        <w:pStyle w:val="ListParagraph"/>
        <w:numPr>
          <w:ilvl w:val="1"/>
          <w:numId w:val="8"/>
        </w:numPr>
      </w:pPr>
      <w:r>
        <w:rPr>
          <w:rFonts w:cstheme="minorHAnsi"/>
        </w:rPr>
        <w:t>L</w:t>
      </w:r>
      <w:r w:rsidRPr="002960FF">
        <w:rPr>
          <w:rFonts w:cstheme="minorHAnsi"/>
        </w:rPr>
        <w:t>earning network/community of practice</w:t>
      </w:r>
      <w:r>
        <w:rPr>
          <w:rFonts w:cstheme="minorHAnsi"/>
        </w:rPr>
        <w:t xml:space="preserve"> </w:t>
      </w:r>
      <w:r w:rsidRPr="002960FF">
        <w:rPr>
          <w:rFonts w:cstheme="minorHAnsi"/>
        </w:rPr>
        <w:t xml:space="preserve"> for sharing ideas and approaches </w:t>
      </w:r>
      <w:r>
        <w:rPr>
          <w:rFonts w:cstheme="minorHAnsi"/>
        </w:rPr>
        <w:t xml:space="preserve"> </w:t>
      </w:r>
      <w:r w:rsidRPr="002960FF">
        <w:rPr>
          <w:rFonts w:cstheme="minorHAnsi"/>
        </w:rPr>
        <w:t xml:space="preserve">  </w:t>
      </w:r>
    </w:p>
    <w:p w14:paraId="7004B88C" w14:textId="77777777" w:rsidR="00B65C25" w:rsidRDefault="00B65C25" w:rsidP="00B65C25">
      <w:pPr>
        <w:rPr>
          <w:rFonts w:cstheme="minorHAnsi"/>
        </w:rPr>
      </w:pPr>
    </w:p>
    <w:p w14:paraId="0028B877" w14:textId="77777777" w:rsidR="00B65C25" w:rsidRDefault="00B65C25" w:rsidP="00241862">
      <w:pPr>
        <w:rPr>
          <w:color w:val="000000" w:themeColor="text1"/>
        </w:rPr>
      </w:pPr>
    </w:p>
    <w:p w14:paraId="35396C65" w14:textId="77777777" w:rsidR="00B65C25" w:rsidRDefault="00B65C25" w:rsidP="00241862">
      <w:pPr>
        <w:rPr>
          <w:color w:val="000000" w:themeColor="text1"/>
        </w:rPr>
      </w:pPr>
    </w:p>
    <w:p w14:paraId="77003D40" w14:textId="77777777" w:rsidR="00B65C25" w:rsidRDefault="00B65C25">
      <w:pPr>
        <w:spacing w:after="200" w:line="276" w:lineRule="auto"/>
        <w:rPr>
          <w:color w:val="000000" w:themeColor="text1"/>
        </w:rPr>
      </w:pPr>
      <w:r>
        <w:rPr>
          <w:color w:val="000000" w:themeColor="text1"/>
        </w:rPr>
        <w:br w:type="page"/>
      </w:r>
    </w:p>
    <w:p w14:paraId="5F3AB151" w14:textId="7D9877A8" w:rsidR="00241862" w:rsidRPr="00B65C25" w:rsidRDefault="0044743C" w:rsidP="00B65C25">
      <w:pPr>
        <w:jc w:val="center"/>
        <w:rPr>
          <w:b/>
          <w:color w:val="000000" w:themeColor="text1"/>
        </w:rPr>
      </w:pPr>
      <w:r w:rsidRPr="00B65C25">
        <w:rPr>
          <w:b/>
          <w:color w:val="000000" w:themeColor="text1"/>
        </w:rPr>
        <w:lastRenderedPageBreak/>
        <w:t>Agenda</w:t>
      </w:r>
    </w:p>
    <w:p w14:paraId="69B14E02" w14:textId="77777777" w:rsidR="0044743C" w:rsidRPr="00B65C25" w:rsidRDefault="0044743C" w:rsidP="00241862">
      <w:pPr>
        <w:rPr>
          <w:color w:val="000000" w:themeColor="text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7"/>
        <w:gridCol w:w="7581"/>
      </w:tblGrid>
      <w:tr w:rsidR="00E9187E" w:rsidRPr="00B65C25" w14:paraId="739C7910" w14:textId="77777777" w:rsidTr="003F3CB6">
        <w:tc>
          <w:tcPr>
            <w:tcW w:w="9738" w:type="dxa"/>
            <w:gridSpan w:val="2"/>
            <w:shd w:val="clear" w:color="auto" w:fill="C6D9F1" w:themeFill="text2" w:themeFillTint="33"/>
            <w:tcMar>
              <w:top w:w="0" w:type="dxa"/>
              <w:left w:w="108" w:type="dxa"/>
              <w:bottom w:w="0" w:type="dxa"/>
              <w:right w:w="108" w:type="dxa"/>
            </w:tcMar>
          </w:tcPr>
          <w:p w14:paraId="7C58BECB" w14:textId="77777777" w:rsidR="00E9187E" w:rsidRPr="00B65C25" w:rsidRDefault="00E9187E" w:rsidP="008A187F">
            <w:pPr>
              <w:jc w:val="center"/>
              <w:rPr>
                <w:b/>
                <w:color w:val="000000" w:themeColor="text1"/>
              </w:rPr>
            </w:pPr>
            <w:r w:rsidRPr="00B65C25">
              <w:rPr>
                <w:b/>
                <w:color w:val="000000" w:themeColor="text1"/>
              </w:rPr>
              <w:t>Nov 18</w:t>
            </w:r>
          </w:p>
        </w:tc>
      </w:tr>
      <w:tr w:rsidR="00B65C25" w:rsidRPr="00B65C25" w14:paraId="59DEF07A" w14:textId="77777777" w:rsidTr="002176D5">
        <w:tc>
          <w:tcPr>
            <w:tcW w:w="2157" w:type="dxa"/>
            <w:tcMar>
              <w:top w:w="0" w:type="dxa"/>
              <w:left w:w="108" w:type="dxa"/>
              <w:bottom w:w="0" w:type="dxa"/>
              <w:right w:w="108" w:type="dxa"/>
            </w:tcMar>
          </w:tcPr>
          <w:p w14:paraId="54DD5CAA" w14:textId="77777777" w:rsidR="00A726CD" w:rsidRPr="008A187F" w:rsidRDefault="00A726CD" w:rsidP="0044743C">
            <w:pPr>
              <w:rPr>
                <w:color w:val="000000" w:themeColor="text1"/>
              </w:rPr>
            </w:pPr>
            <w:r w:rsidRPr="008A187F">
              <w:rPr>
                <w:color w:val="000000" w:themeColor="text1"/>
              </w:rPr>
              <w:t>9-9:15</w:t>
            </w:r>
          </w:p>
        </w:tc>
        <w:tc>
          <w:tcPr>
            <w:tcW w:w="7581" w:type="dxa"/>
            <w:tcMar>
              <w:top w:w="0" w:type="dxa"/>
              <w:left w:w="108" w:type="dxa"/>
              <w:bottom w:w="0" w:type="dxa"/>
              <w:right w:w="108" w:type="dxa"/>
            </w:tcMar>
          </w:tcPr>
          <w:p w14:paraId="4B38B75B" w14:textId="64520F31" w:rsidR="00A726CD" w:rsidRPr="008A187F" w:rsidRDefault="00A726CD" w:rsidP="001F284D">
            <w:pPr>
              <w:rPr>
                <w:color w:val="000000" w:themeColor="text1"/>
              </w:rPr>
            </w:pPr>
            <w:r w:rsidRPr="008A187F">
              <w:rPr>
                <w:color w:val="000000" w:themeColor="text1"/>
              </w:rPr>
              <w:t xml:space="preserve">Welcome and introduction  Karen Brooks  </w:t>
            </w:r>
            <w:r w:rsidR="001F284D" w:rsidRPr="008A187F">
              <w:rPr>
                <w:color w:val="000000" w:themeColor="text1"/>
              </w:rPr>
              <w:t>and Stuart Gillespie</w:t>
            </w:r>
            <w:r w:rsidRPr="008A187F">
              <w:rPr>
                <w:color w:val="000000" w:themeColor="text1"/>
              </w:rPr>
              <w:t xml:space="preserve"> </w:t>
            </w:r>
          </w:p>
        </w:tc>
      </w:tr>
      <w:tr w:rsidR="00B65C25" w:rsidRPr="00B65C25" w14:paraId="339C7D33" w14:textId="77777777" w:rsidTr="002176D5">
        <w:tc>
          <w:tcPr>
            <w:tcW w:w="2157" w:type="dxa"/>
            <w:tcMar>
              <w:top w:w="0" w:type="dxa"/>
              <w:left w:w="108" w:type="dxa"/>
              <w:bottom w:w="0" w:type="dxa"/>
              <w:right w:w="108" w:type="dxa"/>
            </w:tcMar>
            <w:hideMark/>
          </w:tcPr>
          <w:p w14:paraId="58BC7107" w14:textId="3202F1BC" w:rsidR="00A726CD" w:rsidRPr="008A187F" w:rsidRDefault="00D92321" w:rsidP="002176D5">
            <w:pPr>
              <w:rPr>
                <w:color w:val="000000" w:themeColor="text1"/>
              </w:rPr>
            </w:pPr>
            <w:r w:rsidRPr="008A187F">
              <w:rPr>
                <w:color w:val="000000" w:themeColor="text1"/>
              </w:rPr>
              <w:t>9:15-</w:t>
            </w:r>
            <w:r w:rsidR="00352CDF">
              <w:rPr>
                <w:color w:val="000000" w:themeColor="text1"/>
              </w:rPr>
              <w:t>10:15</w:t>
            </w:r>
          </w:p>
        </w:tc>
        <w:tc>
          <w:tcPr>
            <w:tcW w:w="7581" w:type="dxa"/>
            <w:tcMar>
              <w:top w:w="0" w:type="dxa"/>
              <w:left w:w="108" w:type="dxa"/>
              <w:bottom w:w="0" w:type="dxa"/>
              <w:right w:w="108" w:type="dxa"/>
            </w:tcMar>
            <w:hideMark/>
          </w:tcPr>
          <w:p w14:paraId="50490B49" w14:textId="1A814FEF" w:rsidR="00A726CD" w:rsidRPr="008A187F" w:rsidRDefault="00A726CD" w:rsidP="00EE2818">
            <w:pPr>
              <w:rPr>
                <w:color w:val="000000" w:themeColor="text1"/>
              </w:rPr>
            </w:pPr>
            <w:r w:rsidRPr="008A187F">
              <w:rPr>
                <w:color w:val="000000" w:themeColor="text1"/>
              </w:rPr>
              <w:t xml:space="preserve">Keynote Presentation </w:t>
            </w:r>
          </w:p>
          <w:p w14:paraId="24A6F1F1" w14:textId="12BA393A" w:rsidR="00A726CD" w:rsidRPr="008A187F" w:rsidRDefault="00A726CD" w:rsidP="00D92321">
            <w:pPr>
              <w:pStyle w:val="ListParagraph"/>
              <w:numPr>
                <w:ilvl w:val="0"/>
                <w:numId w:val="1"/>
              </w:numPr>
              <w:rPr>
                <w:color w:val="000000" w:themeColor="text1"/>
              </w:rPr>
            </w:pPr>
            <w:r w:rsidRPr="008A187F">
              <w:rPr>
                <w:color w:val="000000" w:themeColor="text1"/>
              </w:rPr>
              <w:t>David Pelletier, Cornell University: Nutrition policy processes</w:t>
            </w:r>
          </w:p>
        </w:tc>
      </w:tr>
      <w:tr w:rsidR="00352CDF" w:rsidRPr="00B65C25" w14:paraId="728A15E0" w14:textId="77777777" w:rsidTr="002176D5">
        <w:tc>
          <w:tcPr>
            <w:tcW w:w="2157" w:type="dxa"/>
            <w:tcMar>
              <w:top w:w="0" w:type="dxa"/>
              <w:left w:w="108" w:type="dxa"/>
              <w:bottom w:w="0" w:type="dxa"/>
              <w:right w:w="108" w:type="dxa"/>
            </w:tcMar>
          </w:tcPr>
          <w:p w14:paraId="5A9811DF" w14:textId="36007C6F" w:rsidR="00352CDF" w:rsidRPr="008A187F" w:rsidRDefault="00352CDF" w:rsidP="002176D5">
            <w:pPr>
              <w:rPr>
                <w:color w:val="000000" w:themeColor="text1"/>
              </w:rPr>
            </w:pPr>
            <w:r>
              <w:rPr>
                <w:color w:val="000000" w:themeColor="text1"/>
              </w:rPr>
              <w:t>10:15-10:30</w:t>
            </w:r>
          </w:p>
        </w:tc>
        <w:tc>
          <w:tcPr>
            <w:tcW w:w="7581" w:type="dxa"/>
            <w:tcMar>
              <w:top w:w="0" w:type="dxa"/>
              <w:left w:w="108" w:type="dxa"/>
              <w:bottom w:w="0" w:type="dxa"/>
              <w:right w:w="108" w:type="dxa"/>
            </w:tcMar>
          </w:tcPr>
          <w:p w14:paraId="16F28FFA" w14:textId="4BB27E92" w:rsidR="00352CDF" w:rsidRPr="008A187F" w:rsidRDefault="00352CDF" w:rsidP="00D92321">
            <w:pPr>
              <w:rPr>
                <w:color w:val="000000" w:themeColor="text1"/>
              </w:rPr>
            </w:pPr>
            <w:r>
              <w:rPr>
                <w:color w:val="000000" w:themeColor="text1"/>
              </w:rPr>
              <w:t>Break</w:t>
            </w:r>
          </w:p>
        </w:tc>
      </w:tr>
      <w:tr w:rsidR="00D92321" w:rsidRPr="00B65C25" w14:paraId="4AAB50E0" w14:textId="77777777" w:rsidTr="002176D5">
        <w:tc>
          <w:tcPr>
            <w:tcW w:w="2157" w:type="dxa"/>
            <w:tcMar>
              <w:top w:w="0" w:type="dxa"/>
              <w:left w:w="108" w:type="dxa"/>
              <w:bottom w:w="0" w:type="dxa"/>
              <w:right w:w="108" w:type="dxa"/>
            </w:tcMar>
          </w:tcPr>
          <w:p w14:paraId="14EA7081" w14:textId="48F78152" w:rsidR="00D92321" w:rsidRPr="008A187F" w:rsidRDefault="00352CDF" w:rsidP="00352CDF">
            <w:pPr>
              <w:rPr>
                <w:color w:val="000000" w:themeColor="text1"/>
              </w:rPr>
            </w:pPr>
            <w:r>
              <w:rPr>
                <w:color w:val="000000" w:themeColor="text1"/>
              </w:rPr>
              <w:t>10:30-11:30</w:t>
            </w:r>
          </w:p>
        </w:tc>
        <w:tc>
          <w:tcPr>
            <w:tcW w:w="7581" w:type="dxa"/>
            <w:tcMar>
              <w:top w:w="0" w:type="dxa"/>
              <w:left w:w="108" w:type="dxa"/>
              <w:bottom w:w="0" w:type="dxa"/>
              <w:right w:w="108" w:type="dxa"/>
            </w:tcMar>
          </w:tcPr>
          <w:p w14:paraId="5A6A3F23" w14:textId="77777777" w:rsidR="00D92321" w:rsidRPr="008A187F" w:rsidRDefault="00D92321" w:rsidP="00D92321">
            <w:pPr>
              <w:rPr>
                <w:color w:val="000000" w:themeColor="text1"/>
              </w:rPr>
            </w:pPr>
            <w:r w:rsidRPr="008A187F">
              <w:rPr>
                <w:color w:val="000000" w:themeColor="text1"/>
              </w:rPr>
              <w:t xml:space="preserve">Keynote Presentation </w:t>
            </w:r>
          </w:p>
          <w:p w14:paraId="00EACC46" w14:textId="3D44D789" w:rsidR="002176D5" w:rsidRPr="008A187F" w:rsidRDefault="00B21F26" w:rsidP="00B21F26">
            <w:pPr>
              <w:pStyle w:val="ListParagraph"/>
              <w:numPr>
                <w:ilvl w:val="0"/>
                <w:numId w:val="1"/>
              </w:numPr>
              <w:rPr>
                <w:color w:val="000000" w:themeColor="text1"/>
              </w:rPr>
            </w:pPr>
            <w:r w:rsidRPr="00004DE4">
              <w:rPr>
                <w:rFonts w:asciiTheme="minorHAnsi" w:hAnsiTheme="minorHAnsi" w:cstheme="minorHAnsi"/>
                <w:color w:val="000000" w:themeColor="text1"/>
              </w:rPr>
              <w:t xml:space="preserve">John Thompson, </w:t>
            </w:r>
            <w:r w:rsidRPr="00433441">
              <w:rPr>
                <w:rFonts w:asciiTheme="minorHAnsi" w:hAnsiTheme="minorHAnsi" w:cstheme="minorHAnsi"/>
                <w:color w:val="000000" w:themeColor="text1"/>
                <w:lang w:val="en-GB"/>
              </w:rPr>
              <w:t>Future Agricultures Consortium and Institute of Development Studies, UK</w:t>
            </w:r>
            <w:r w:rsidRPr="00433441">
              <w:rPr>
                <w:rFonts w:asciiTheme="minorHAnsi" w:hAnsiTheme="minorHAnsi" w:cstheme="minorHAnsi"/>
                <w:color w:val="000000" w:themeColor="text1"/>
              </w:rPr>
              <w:t xml:space="preserve">: </w:t>
            </w:r>
            <w:r w:rsidRPr="00433441">
              <w:rPr>
                <w:rFonts w:asciiTheme="minorHAnsi" w:hAnsiTheme="minorHAnsi" w:cstheme="minorHAnsi"/>
                <w:color w:val="000000" w:themeColor="text1"/>
                <w:lang w:val="en-GB"/>
              </w:rPr>
              <w:t>‘Analysing and Understanding</w:t>
            </w:r>
            <w:r w:rsidRPr="006A0A98">
              <w:rPr>
                <w:rFonts w:asciiTheme="minorHAnsi" w:hAnsiTheme="minorHAnsi"/>
                <w:color w:val="000000" w:themeColor="text1"/>
                <w:lang w:val="en-GB"/>
              </w:rPr>
              <w:t xml:space="preserve"> Agricultural </w:t>
            </w:r>
            <w:r w:rsidRPr="00433441">
              <w:rPr>
                <w:rFonts w:asciiTheme="minorHAnsi" w:hAnsiTheme="minorHAnsi" w:cstheme="minorHAnsi"/>
                <w:color w:val="000000" w:themeColor="text1"/>
                <w:lang w:val="en-GB"/>
              </w:rPr>
              <w:t>Policy Processes in Africa’</w:t>
            </w:r>
          </w:p>
        </w:tc>
      </w:tr>
      <w:tr w:rsidR="008C5C5F" w:rsidRPr="00B65C25" w14:paraId="14439C8C" w14:textId="77777777" w:rsidTr="002176D5">
        <w:tc>
          <w:tcPr>
            <w:tcW w:w="2157" w:type="dxa"/>
            <w:tcMar>
              <w:top w:w="0" w:type="dxa"/>
              <w:left w:w="108" w:type="dxa"/>
              <w:bottom w:w="0" w:type="dxa"/>
              <w:right w:w="108" w:type="dxa"/>
            </w:tcMar>
          </w:tcPr>
          <w:p w14:paraId="454DD514" w14:textId="349D65ED" w:rsidR="008C5C5F" w:rsidRPr="00B65C25" w:rsidRDefault="008C5C5F" w:rsidP="00EE2818">
            <w:pPr>
              <w:rPr>
                <w:color w:val="000000" w:themeColor="text1"/>
              </w:rPr>
            </w:pPr>
            <w:r w:rsidRPr="008A187F">
              <w:rPr>
                <w:color w:val="000000" w:themeColor="text1"/>
              </w:rPr>
              <w:t>11:30-12:00</w:t>
            </w:r>
          </w:p>
        </w:tc>
        <w:tc>
          <w:tcPr>
            <w:tcW w:w="7581" w:type="dxa"/>
            <w:tcMar>
              <w:top w:w="0" w:type="dxa"/>
              <w:left w:w="108" w:type="dxa"/>
              <w:bottom w:w="0" w:type="dxa"/>
              <w:right w:w="108" w:type="dxa"/>
            </w:tcMar>
          </w:tcPr>
          <w:p w14:paraId="55F43289" w14:textId="155C01C1" w:rsidR="008C5C5F" w:rsidRPr="00B65C25" w:rsidRDefault="008C5C5F" w:rsidP="00EE2818">
            <w:pPr>
              <w:rPr>
                <w:color w:val="000000" w:themeColor="text1"/>
              </w:rPr>
            </w:pPr>
            <w:r w:rsidRPr="008A187F">
              <w:rPr>
                <w:color w:val="000000" w:themeColor="text1"/>
              </w:rPr>
              <w:t>Workshop background and process</w:t>
            </w:r>
          </w:p>
        </w:tc>
      </w:tr>
      <w:tr w:rsidR="008C5C5F" w:rsidRPr="00B65C25" w14:paraId="1D05ABF1" w14:textId="77777777" w:rsidTr="002176D5">
        <w:tc>
          <w:tcPr>
            <w:tcW w:w="2157" w:type="dxa"/>
            <w:tcMar>
              <w:top w:w="0" w:type="dxa"/>
              <w:left w:w="108" w:type="dxa"/>
              <w:bottom w:w="0" w:type="dxa"/>
              <w:right w:w="108" w:type="dxa"/>
            </w:tcMar>
          </w:tcPr>
          <w:p w14:paraId="72C10CFD" w14:textId="77777777" w:rsidR="008C5C5F" w:rsidRPr="00B65C25" w:rsidRDefault="008C5C5F" w:rsidP="00EE2818">
            <w:pPr>
              <w:rPr>
                <w:color w:val="000000" w:themeColor="text1"/>
              </w:rPr>
            </w:pPr>
            <w:r w:rsidRPr="00B65C25">
              <w:rPr>
                <w:color w:val="000000" w:themeColor="text1"/>
              </w:rPr>
              <w:t>12:00-1:00</w:t>
            </w:r>
          </w:p>
        </w:tc>
        <w:tc>
          <w:tcPr>
            <w:tcW w:w="7581" w:type="dxa"/>
            <w:tcMar>
              <w:top w:w="0" w:type="dxa"/>
              <w:left w:w="108" w:type="dxa"/>
              <w:bottom w:w="0" w:type="dxa"/>
              <w:right w:w="108" w:type="dxa"/>
            </w:tcMar>
          </w:tcPr>
          <w:p w14:paraId="731C3AB8" w14:textId="77777777" w:rsidR="008C5C5F" w:rsidRPr="00B65C25" w:rsidRDefault="008C5C5F" w:rsidP="00EE2818">
            <w:pPr>
              <w:rPr>
                <w:color w:val="000000" w:themeColor="text1"/>
              </w:rPr>
            </w:pPr>
            <w:r w:rsidRPr="00B65C25">
              <w:rPr>
                <w:color w:val="000000" w:themeColor="text1"/>
              </w:rPr>
              <w:t>Lunch</w:t>
            </w:r>
          </w:p>
        </w:tc>
      </w:tr>
      <w:tr w:rsidR="008C5C5F" w:rsidRPr="00004DE4" w14:paraId="265373E1" w14:textId="77777777" w:rsidTr="002176D5">
        <w:tc>
          <w:tcPr>
            <w:tcW w:w="2157" w:type="dxa"/>
            <w:tcMar>
              <w:top w:w="0" w:type="dxa"/>
              <w:left w:w="108" w:type="dxa"/>
              <w:bottom w:w="0" w:type="dxa"/>
              <w:right w:w="108" w:type="dxa"/>
            </w:tcMar>
            <w:hideMark/>
          </w:tcPr>
          <w:p w14:paraId="7DA20334" w14:textId="77777777" w:rsidR="008C5C5F" w:rsidRPr="00004DE4" w:rsidRDefault="008C5C5F" w:rsidP="00A726CD">
            <w:pPr>
              <w:rPr>
                <w:rFonts w:asciiTheme="minorHAnsi" w:hAnsiTheme="minorHAnsi" w:cstheme="minorHAnsi"/>
                <w:color w:val="000000" w:themeColor="text1"/>
              </w:rPr>
            </w:pPr>
            <w:r w:rsidRPr="00004DE4">
              <w:rPr>
                <w:rFonts w:asciiTheme="minorHAnsi" w:hAnsiTheme="minorHAnsi" w:cstheme="minorHAnsi"/>
                <w:color w:val="000000" w:themeColor="text1"/>
              </w:rPr>
              <w:t>1:00-2:00</w:t>
            </w:r>
          </w:p>
        </w:tc>
        <w:tc>
          <w:tcPr>
            <w:tcW w:w="7581" w:type="dxa"/>
            <w:tcMar>
              <w:top w:w="0" w:type="dxa"/>
              <w:left w:w="108" w:type="dxa"/>
              <w:bottom w:w="0" w:type="dxa"/>
              <w:right w:w="108" w:type="dxa"/>
            </w:tcMar>
            <w:hideMark/>
          </w:tcPr>
          <w:p w14:paraId="4B61ED1B" w14:textId="05BBF5A0" w:rsidR="008C5C5F" w:rsidRPr="00004DE4" w:rsidRDefault="008C5C5F" w:rsidP="00EE2818">
            <w:pPr>
              <w:rPr>
                <w:rFonts w:asciiTheme="minorHAnsi" w:hAnsiTheme="minorHAnsi" w:cstheme="minorHAnsi"/>
                <w:color w:val="000000" w:themeColor="text1"/>
              </w:rPr>
            </w:pPr>
            <w:r w:rsidRPr="00004DE4">
              <w:rPr>
                <w:rFonts w:asciiTheme="minorHAnsi" w:hAnsiTheme="minorHAnsi" w:cstheme="minorHAnsi"/>
                <w:color w:val="000000" w:themeColor="text1"/>
              </w:rPr>
              <w:t>CRP Studies: Methods</w:t>
            </w:r>
          </w:p>
          <w:p w14:paraId="06D21162" w14:textId="77777777" w:rsidR="008C5C5F" w:rsidRPr="00004DE4" w:rsidRDefault="008C5C5F" w:rsidP="00004DE4">
            <w:pPr>
              <w:pStyle w:val="ListParagraph"/>
              <w:numPr>
                <w:ilvl w:val="0"/>
                <w:numId w:val="10"/>
              </w:numPr>
              <w:rPr>
                <w:rFonts w:asciiTheme="minorHAnsi" w:hAnsiTheme="minorHAnsi" w:cstheme="minorHAnsi"/>
              </w:rPr>
            </w:pPr>
            <w:r w:rsidRPr="00004DE4">
              <w:rPr>
                <w:rFonts w:asciiTheme="minorHAnsi" w:hAnsiTheme="minorHAnsi" w:cstheme="minorHAnsi"/>
              </w:rPr>
              <w:t xml:space="preserve">“Enabling Policy Environments for Infant and Young child feeding and nutrition: the roles of actors, networks, narratives, and data,” Purnima Menon, IFPRI-New Delhi. </w:t>
            </w:r>
          </w:p>
          <w:p w14:paraId="43F197A5" w14:textId="77777777" w:rsidR="008C5C5F" w:rsidRPr="00004DE4" w:rsidRDefault="008C5C5F" w:rsidP="00004DE4">
            <w:pPr>
              <w:pStyle w:val="ListParagraph"/>
              <w:numPr>
                <w:ilvl w:val="0"/>
                <w:numId w:val="9"/>
              </w:numPr>
              <w:rPr>
                <w:rFonts w:asciiTheme="minorHAnsi" w:hAnsiTheme="minorHAnsi" w:cstheme="minorHAnsi"/>
                <w:color w:val="000000" w:themeColor="text1"/>
              </w:rPr>
            </w:pPr>
            <w:r w:rsidRPr="00004DE4">
              <w:rPr>
                <w:rFonts w:asciiTheme="minorHAnsi" w:hAnsiTheme="minorHAnsi" w:cstheme="minorHAnsi"/>
              </w:rPr>
              <w:t xml:space="preserve">“Understanding the policy process and landscape through discourse and network analysis: qualitative and quantitative approaches” Christian Henning, University of Kiel and Jonathan </w:t>
            </w:r>
            <w:proofErr w:type="spellStart"/>
            <w:r w:rsidRPr="00004DE4">
              <w:rPr>
                <w:rFonts w:asciiTheme="minorHAnsi" w:hAnsiTheme="minorHAnsi" w:cstheme="minorHAnsi"/>
              </w:rPr>
              <w:t>Mockshell</w:t>
            </w:r>
            <w:proofErr w:type="spellEnd"/>
            <w:r w:rsidRPr="00004DE4">
              <w:rPr>
                <w:rFonts w:asciiTheme="minorHAnsi" w:hAnsiTheme="minorHAnsi" w:cstheme="minorHAnsi"/>
              </w:rPr>
              <w:t xml:space="preserve"> </w:t>
            </w:r>
            <w:r w:rsidRPr="00004DE4">
              <w:rPr>
                <w:rFonts w:asciiTheme="minorHAnsi" w:hAnsiTheme="minorHAnsi" w:cstheme="minorHAnsi"/>
                <w:u w:val="single"/>
              </w:rPr>
              <w:t>,</w:t>
            </w:r>
            <w:r w:rsidRPr="00004DE4">
              <w:rPr>
                <w:rFonts w:asciiTheme="minorHAnsi" w:hAnsiTheme="minorHAnsi" w:cstheme="minorHAnsi"/>
              </w:rPr>
              <w:t xml:space="preserve"> University of Hohenheim </w:t>
            </w:r>
          </w:p>
        </w:tc>
      </w:tr>
      <w:tr w:rsidR="008C5C5F" w:rsidRPr="00004DE4" w14:paraId="6D0E29CC" w14:textId="77777777" w:rsidTr="002176D5">
        <w:tc>
          <w:tcPr>
            <w:tcW w:w="2157" w:type="dxa"/>
            <w:tcMar>
              <w:top w:w="0" w:type="dxa"/>
              <w:left w:w="108" w:type="dxa"/>
              <w:bottom w:w="0" w:type="dxa"/>
              <w:right w:w="108" w:type="dxa"/>
            </w:tcMar>
            <w:hideMark/>
          </w:tcPr>
          <w:p w14:paraId="6A913788" w14:textId="77777777" w:rsidR="008C5C5F" w:rsidRPr="00004DE4" w:rsidRDefault="008C5C5F" w:rsidP="00EE2818">
            <w:pPr>
              <w:rPr>
                <w:rFonts w:asciiTheme="minorHAnsi" w:hAnsiTheme="minorHAnsi" w:cstheme="minorHAnsi"/>
                <w:color w:val="000000" w:themeColor="text1"/>
              </w:rPr>
            </w:pPr>
            <w:r w:rsidRPr="00004DE4">
              <w:rPr>
                <w:rFonts w:asciiTheme="minorHAnsi" w:hAnsiTheme="minorHAnsi" w:cstheme="minorHAnsi"/>
                <w:color w:val="000000" w:themeColor="text1"/>
              </w:rPr>
              <w:t>2:00-3:00</w:t>
            </w:r>
          </w:p>
        </w:tc>
        <w:tc>
          <w:tcPr>
            <w:tcW w:w="7581" w:type="dxa"/>
            <w:tcMar>
              <w:top w:w="0" w:type="dxa"/>
              <w:left w:w="108" w:type="dxa"/>
              <w:bottom w:w="0" w:type="dxa"/>
              <w:right w:w="108" w:type="dxa"/>
            </w:tcMar>
            <w:hideMark/>
          </w:tcPr>
          <w:p w14:paraId="600C5078" w14:textId="14D4F055" w:rsidR="008C5C5F" w:rsidRPr="00004DE4" w:rsidRDefault="008C5C5F" w:rsidP="001F284D">
            <w:pPr>
              <w:rPr>
                <w:rFonts w:asciiTheme="minorHAnsi" w:hAnsiTheme="minorHAnsi" w:cstheme="minorHAnsi"/>
                <w:color w:val="000000" w:themeColor="text1"/>
              </w:rPr>
            </w:pPr>
            <w:r w:rsidRPr="00004DE4">
              <w:rPr>
                <w:rFonts w:asciiTheme="minorHAnsi" w:hAnsiTheme="minorHAnsi" w:cstheme="minorHAnsi"/>
                <w:color w:val="000000" w:themeColor="text1"/>
              </w:rPr>
              <w:t>CRP Studies: Scalar elements of policy process (International-local) and bottom up</w:t>
            </w:r>
            <w:r>
              <w:rPr>
                <w:rFonts w:asciiTheme="minorHAnsi" w:hAnsiTheme="minorHAnsi" w:cstheme="minorHAnsi"/>
                <w:color w:val="000000" w:themeColor="text1"/>
              </w:rPr>
              <w:t xml:space="preserve"> approaches</w:t>
            </w:r>
          </w:p>
          <w:p w14:paraId="5377F34B" w14:textId="77777777" w:rsidR="008C5C5F" w:rsidRPr="00004DE4" w:rsidRDefault="008C5C5F" w:rsidP="00004DE4">
            <w:pPr>
              <w:pStyle w:val="ListParagraph"/>
              <w:numPr>
                <w:ilvl w:val="0"/>
                <w:numId w:val="9"/>
              </w:numPr>
              <w:rPr>
                <w:rFonts w:asciiTheme="minorHAnsi" w:hAnsiTheme="minorHAnsi" w:cstheme="minorHAnsi"/>
              </w:rPr>
            </w:pPr>
            <w:r w:rsidRPr="00004DE4">
              <w:rPr>
                <w:rFonts w:asciiTheme="minorHAnsi" w:hAnsiTheme="minorHAnsi" w:cstheme="minorHAnsi"/>
              </w:rPr>
              <w:t xml:space="preserve">“Policy Network Analysis to support national implementation of the International Treaty on Plant Genetic Resources for Food and Agriculture” </w:t>
            </w:r>
            <w:proofErr w:type="spellStart"/>
            <w:r w:rsidRPr="00004DE4">
              <w:rPr>
                <w:rFonts w:asciiTheme="minorHAnsi" w:hAnsiTheme="minorHAnsi" w:cstheme="minorHAnsi"/>
              </w:rPr>
              <w:t>Gea</w:t>
            </w:r>
            <w:proofErr w:type="spellEnd"/>
            <w:r w:rsidRPr="00004DE4">
              <w:rPr>
                <w:rFonts w:asciiTheme="minorHAnsi" w:hAnsiTheme="minorHAnsi" w:cstheme="minorHAnsi"/>
              </w:rPr>
              <w:t xml:space="preserve"> </w:t>
            </w:r>
            <w:proofErr w:type="spellStart"/>
            <w:r w:rsidRPr="00004DE4">
              <w:rPr>
                <w:rFonts w:asciiTheme="minorHAnsi" w:hAnsiTheme="minorHAnsi" w:cstheme="minorHAnsi"/>
              </w:rPr>
              <w:t>Galluzzi</w:t>
            </w:r>
            <w:proofErr w:type="spellEnd"/>
            <w:r w:rsidRPr="00004DE4">
              <w:rPr>
                <w:rFonts w:asciiTheme="minorHAnsi" w:hAnsiTheme="minorHAnsi" w:cstheme="minorHAnsi"/>
              </w:rPr>
              <w:t xml:space="preserve">, Bioversity and </w:t>
            </w:r>
            <w:proofErr w:type="spellStart"/>
            <w:r w:rsidRPr="00004DE4">
              <w:rPr>
                <w:rFonts w:asciiTheme="minorHAnsi" w:hAnsiTheme="minorHAnsi" w:cstheme="minorHAnsi"/>
              </w:rPr>
              <w:t>Aseffa</w:t>
            </w:r>
            <w:proofErr w:type="spellEnd"/>
            <w:r w:rsidRPr="00004DE4">
              <w:rPr>
                <w:rFonts w:asciiTheme="minorHAnsi" w:hAnsiTheme="minorHAnsi" w:cstheme="minorHAnsi"/>
              </w:rPr>
              <w:t xml:space="preserve"> </w:t>
            </w:r>
            <w:proofErr w:type="spellStart"/>
            <w:r w:rsidRPr="00004DE4">
              <w:rPr>
                <w:rFonts w:asciiTheme="minorHAnsi" w:hAnsiTheme="minorHAnsi" w:cstheme="minorHAnsi"/>
              </w:rPr>
              <w:t>Wedajoo</w:t>
            </w:r>
            <w:proofErr w:type="spellEnd"/>
            <w:r w:rsidRPr="00004DE4">
              <w:rPr>
                <w:rFonts w:asciiTheme="minorHAnsi" w:hAnsiTheme="minorHAnsi" w:cstheme="minorHAnsi"/>
              </w:rPr>
              <w:t>, University of Illinois-Chicago</w:t>
            </w:r>
          </w:p>
          <w:p w14:paraId="3BBD6D12" w14:textId="77777777" w:rsidR="008C5C5F" w:rsidRPr="00004DE4" w:rsidRDefault="008C5C5F" w:rsidP="00804266">
            <w:pPr>
              <w:pStyle w:val="ListParagraph"/>
              <w:widowControl w:val="0"/>
              <w:numPr>
                <w:ilvl w:val="0"/>
                <w:numId w:val="3"/>
              </w:numPr>
              <w:autoSpaceDE w:val="0"/>
              <w:autoSpaceDN w:val="0"/>
              <w:adjustRightInd w:val="0"/>
              <w:spacing w:after="160"/>
              <w:rPr>
                <w:rFonts w:asciiTheme="minorHAnsi" w:hAnsiTheme="minorHAnsi" w:cstheme="minorHAnsi"/>
              </w:rPr>
            </w:pPr>
            <w:r w:rsidRPr="00004DE4">
              <w:rPr>
                <w:rFonts w:asciiTheme="minorHAnsi" w:hAnsiTheme="minorHAnsi" w:cstheme="minorHAnsi"/>
              </w:rPr>
              <w:t xml:space="preserve"> “Participatory action research to influence land tenure policy and access to the commons in the </w:t>
            </w:r>
            <w:proofErr w:type="spellStart"/>
            <w:r w:rsidRPr="00004DE4">
              <w:rPr>
                <w:rFonts w:asciiTheme="minorHAnsi" w:hAnsiTheme="minorHAnsi" w:cstheme="minorHAnsi"/>
              </w:rPr>
              <w:t>Barotse</w:t>
            </w:r>
            <w:proofErr w:type="spellEnd"/>
            <w:r w:rsidRPr="00004DE4">
              <w:rPr>
                <w:rFonts w:asciiTheme="minorHAnsi" w:hAnsiTheme="minorHAnsi" w:cstheme="minorHAnsi"/>
              </w:rPr>
              <w:t xml:space="preserve"> floodplain, Zambia” Blake Ratner, WorldFish and Elias </w:t>
            </w:r>
            <w:proofErr w:type="spellStart"/>
            <w:r w:rsidRPr="00004DE4">
              <w:rPr>
                <w:rFonts w:asciiTheme="minorHAnsi" w:hAnsiTheme="minorHAnsi" w:cstheme="minorHAnsi"/>
              </w:rPr>
              <w:t>Madzudzo</w:t>
            </w:r>
            <w:proofErr w:type="spellEnd"/>
            <w:r w:rsidRPr="00004DE4">
              <w:rPr>
                <w:rFonts w:asciiTheme="minorHAnsi" w:hAnsiTheme="minorHAnsi" w:cstheme="minorHAnsi"/>
              </w:rPr>
              <w:t xml:space="preserve">, WorldFish </w:t>
            </w:r>
          </w:p>
        </w:tc>
      </w:tr>
      <w:tr w:rsidR="008C5C5F" w:rsidRPr="00004DE4" w14:paraId="22341A55" w14:textId="77777777" w:rsidTr="002176D5">
        <w:tc>
          <w:tcPr>
            <w:tcW w:w="2157" w:type="dxa"/>
            <w:tcMar>
              <w:top w:w="0" w:type="dxa"/>
              <w:left w:w="108" w:type="dxa"/>
              <w:bottom w:w="0" w:type="dxa"/>
              <w:right w:w="108" w:type="dxa"/>
            </w:tcMar>
          </w:tcPr>
          <w:p w14:paraId="53666447" w14:textId="77777777" w:rsidR="008C5C5F" w:rsidRPr="00004DE4" w:rsidRDefault="008C5C5F" w:rsidP="00EE2818">
            <w:pPr>
              <w:rPr>
                <w:rFonts w:asciiTheme="minorHAnsi" w:hAnsiTheme="minorHAnsi" w:cstheme="minorHAnsi"/>
                <w:color w:val="000000" w:themeColor="text1"/>
              </w:rPr>
            </w:pPr>
            <w:r w:rsidRPr="00004DE4">
              <w:rPr>
                <w:rFonts w:asciiTheme="minorHAnsi" w:hAnsiTheme="minorHAnsi" w:cstheme="minorHAnsi"/>
                <w:color w:val="000000" w:themeColor="text1"/>
              </w:rPr>
              <w:t>3:00-3:30</w:t>
            </w:r>
          </w:p>
        </w:tc>
        <w:tc>
          <w:tcPr>
            <w:tcW w:w="7581" w:type="dxa"/>
            <w:tcMar>
              <w:top w:w="0" w:type="dxa"/>
              <w:left w:w="108" w:type="dxa"/>
              <w:bottom w:w="0" w:type="dxa"/>
              <w:right w:w="108" w:type="dxa"/>
            </w:tcMar>
          </w:tcPr>
          <w:p w14:paraId="1A21EAA9" w14:textId="77777777" w:rsidR="008C5C5F" w:rsidRPr="00004DE4" w:rsidRDefault="008C5C5F" w:rsidP="00EE2818">
            <w:pPr>
              <w:rPr>
                <w:rFonts w:asciiTheme="minorHAnsi" w:hAnsiTheme="minorHAnsi" w:cstheme="minorHAnsi"/>
                <w:color w:val="000000" w:themeColor="text1"/>
              </w:rPr>
            </w:pPr>
            <w:r w:rsidRPr="00004DE4">
              <w:rPr>
                <w:rFonts w:asciiTheme="minorHAnsi" w:hAnsiTheme="minorHAnsi" w:cstheme="minorHAnsi"/>
                <w:color w:val="000000" w:themeColor="text1"/>
              </w:rPr>
              <w:t>Break</w:t>
            </w:r>
          </w:p>
        </w:tc>
      </w:tr>
      <w:tr w:rsidR="008C5C5F" w:rsidRPr="00004DE4" w14:paraId="6C619F33" w14:textId="77777777" w:rsidTr="002176D5">
        <w:tc>
          <w:tcPr>
            <w:tcW w:w="2157" w:type="dxa"/>
            <w:tcMar>
              <w:top w:w="0" w:type="dxa"/>
              <w:left w:w="108" w:type="dxa"/>
              <w:bottom w:w="0" w:type="dxa"/>
              <w:right w:w="108" w:type="dxa"/>
            </w:tcMar>
            <w:hideMark/>
          </w:tcPr>
          <w:p w14:paraId="43E2E68D" w14:textId="77777777" w:rsidR="008C5C5F" w:rsidRPr="00004DE4" w:rsidRDefault="008C5C5F" w:rsidP="00EE2818">
            <w:pPr>
              <w:rPr>
                <w:rFonts w:asciiTheme="minorHAnsi" w:hAnsiTheme="minorHAnsi" w:cstheme="minorHAnsi"/>
                <w:color w:val="000000" w:themeColor="text1"/>
              </w:rPr>
            </w:pPr>
            <w:r w:rsidRPr="00004DE4">
              <w:rPr>
                <w:rFonts w:asciiTheme="minorHAnsi" w:hAnsiTheme="minorHAnsi" w:cstheme="minorHAnsi"/>
                <w:color w:val="000000" w:themeColor="text1"/>
              </w:rPr>
              <w:t>3:30-5:30</w:t>
            </w:r>
          </w:p>
        </w:tc>
        <w:tc>
          <w:tcPr>
            <w:tcW w:w="7581" w:type="dxa"/>
            <w:tcMar>
              <w:top w:w="0" w:type="dxa"/>
              <w:left w:w="108" w:type="dxa"/>
              <w:bottom w:w="0" w:type="dxa"/>
              <w:right w:w="108" w:type="dxa"/>
            </w:tcMar>
            <w:hideMark/>
          </w:tcPr>
          <w:p w14:paraId="72B3877C" w14:textId="77777777" w:rsidR="008C5C5F" w:rsidRPr="00004DE4" w:rsidRDefault="008C5C5F" w:rsidP="001F284D">
            <w:pPr>
              <w:rPr>
                <w:rFonts w:asciiTheme="minorHAnsi" w:hAnsiTheme="minorHAnsi" w:cstheme="minorHAnsi"/>
                <w:color w:val="000000" w:themeColor="text1"/>
              </w:rPr>
            </w:pPr>
            <w:r w:rsidRPr="00004DE4">
              <w:rPr>
                <w:rFonts w:asciiTheme="minorHAnsi" w:hAnsiTheme="minorHAnsi" w:cstheme="minorHAnsi"/>
                <w:color w:val="000000" w:themeColor="text1"/>
              </w:rPr>
              <w:t>Working groups focusing on methods and frameworks for analysis</w:t>
            </w:r>
          </w:p>
        </w:tc>
      </w:tr>
      <w:tr w:rsidR="008C5C5F" w:rsidRPr="00004DE4" w14:paraId="0E2443DA" w14:textId="77777777" w:rsidTr="002176D5">
        <w:tc>
          <w:tcPr>
            <w:tcW w:w="2157" w:type="dxa"/>
            <w:tcMar>
              <w:top w:w="0" w:type="dxa"/>
              <w:left w:w="108" w:type="dxa"/>
              <w:bottom w:w="0" w:type="dxa"/>
              <w:right w:w="108" w:type="dxa"/>
            </w:tcMar>
            <w:hideMark/>
          </w:tcPr>
          <w:p w14:paraId="78254ACE" w14:textId="16CAAA8F" w:rsidR="008C5C5F" w:rsidRPr="00004DE4" w:rsidRDefault="008C5C5F" w:rsidP="00EE2818">
            <w:pPr>
              <w:rPr>
                <w:rFonts w:asciiTheme="minorHAnsi" w:hAnsiTheme="minorHAnsi" w:cstheme="minorHAnsi"/>
                <w:color w:val="000000" w:themeColor="text1"/>
              </w:rPr>
            </w:pPr>
            <w:r w:rsidRPr="00004DE4">
              <w:rPr>
                <w:rFonts w:asciiTheme="minorHAnsi" w:hAnsiTheme="minorHAnsi" w:cstheme="minorHAnsi"/>
                <w:color w:val="000000" w:themeColor="text1"/>
              </w:rPr>
              <w:t>5:30 – 7</w:t>
            </w:r>
            <w:r>
              <w:rPr>
                <w:rFonts w:asciiTheme="minorHAnsi" w:hAnsiTheme="minorHAnsi" w:cstheme="minorHAnsi"/>
                <w:color w:val="000000" w:themeColor="text1"/>
              </w:rPr>
              <w:t>:00</w:t>
            </w:r>
          </w:p>
        </w:tc>
        <w:tc>
          <w:tcPr>
            <w:tcW w:w="7581" w:type="dxa"/>
            <w:tcMar>
              <w:top w:w="0" w:type="dxa"/>
              <w:left w:w="108" w:type="dxa"/>
              <w:bottom w:w="0" w:type="dxa"/>
              <w:right w:w="108" w:type="dxa"/>
            </w:tcMar>
            <w:hideMark/>
          </w:tcPr>
          <w:p w14:paraId="49B3B49A" w14:textId="77777777" w:rsidR="008C5C5F" w:rsidRPr="00004DE4" w:rsidRDefault="008C5C5F" w:rsidP="00EE2818">
            <w:pPr>
              <w:rPr>
                <w:rFonts w:asciiTheme="minorHAnsi" w:hAnsiTheme="minorHAnsi" w:cstheme="minorHAnsi"/>
                <w:color w:val="000000" w:themeColor="text1"/>
              </w:rPr>
            </w:pPr>
            <w:r w:rsidRPr="00004DE4">
              <w:rPr>
                <w:rFonts w:asciiTheme="minorHAnsi" w:hAnsiTheme="minorHAnsi" w:cstheme="minorHAnsi"/>
                <w:color w:val="000000" w:themeColor="text1"/>
              </w:rPr>
              <w:t>Reception</w:t>
            </w:r>
          </w:p>
        </w:tc>
      </w:tr>
    </w:tbl>
    <w:p w14:paraId="204BB5C0" w14:textId="77777777" w:rsidR="0044743C" w:rsidRPr="00004DE4" w:rsidRDefault="0044743C" w:rsidP="00241862">
      <w:pPr>
        <w:rPr>
          <w:rFonts w:asciiTheme="minorHAnsi" w:hAnsiTheme="minorHAnsi" w:cstheme="minorHAnsi"/>
          <w:color w:val="000000" w:themeColor="text1"/>
        </w:rPr>
      </w:pPr>
    </w:p>
    <w:p w14:paraId="13883908" w14:textId="685BA9D2" w:rsidR="00E9187E" w:rsidRDefault="00E9187E">
      <w:pPr>
        <w:spacing w:after="200" w:line="276"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7"/>
        <w:gridCol w:w="7581"/>
      </w:tblGrid>
      <w:tr w:rsidR="00096C0F" w:rsidRPr="00004DE4" w14:paraId="265CAB91" w14:textId="77777777" w:rsidTr="008A187F">
        <w:tc>
          <w:tcPr>
            <w:tcW w:w="9738" w:type="dxa"/>
            <w:gridSpan w:val="2"/>
            <w:shd w:val="clear" w:color="auto" w:fill="C6D9F1" w:themeFill="text2" w:themeFillTint="33"/>
            <w:tcMar>
              <w:top w:w="0" w:type="dxa"/>
              <w:left w:w="108" w:type="dxa"/>
              <w:bottom w:w="0" w:type="dxa"/>
              <w:right w:w="108" w:type="dxa"/>
            </w:tcMar>
          </w:tcPr>
          <w:p w14:paraId="6DA67829" w14:textId="77777777" w:rsidR="00096C0F" w:rsidRPr="00004DE4" w:rsidRDefault="00096C0F" w:rsidP="008A187F">
            <w:pPr>
              <w:jc w:val="center"/>
              <w:rPr>
                <w:rFonts w:asciiTheme="minorHAnsi" w:hAnsiTheme="minorHAnsi" w:cstheme="minorHAnsi"/>
                <w:b/>
                <w:color w:val="000000" w:themeColor="text1"/>
              </w:rPr>
            </w:pPr>
            <w:r w:rsidRPr="00004DE4">
              <w:rPr>
                <w:rFonts w:asciiTheme="minorHAnsi" w:hAnsiTheme="minorHAnsi" w:cstheme="minorHAnsi"/>
                <w:b/>
                <w:color w:val="000000" w:themeColor="text1"/>
              </w:rPr>
              <w:t>Nov 19</w:t>
            </w:r>
          </w:p>
        </w:tc>
      </w:tr>
      <w:tr w:rsidR="00096C0F" w:rsidRPr="00004DE4" w14:paraId="7BD88F87" w14:textId="77777777" w:rsidTr="008A187F">
        <w:tc>
          <w:tcPr>
            <w:tcW w:w="2157" w:type="dxa"/>
            <w:tcMar>
              <w:top w:w="0" w:type="dxa"/>
              <w:left w:w="108" w:type="dxa"/>
              <w:bottom w:w="0" w:type="dxa"/>
              <w:right w:w="108" w:type="dxa"/>
            </w:tcMar>
          </w:tcPr>
          <w:p w14:paraId="4C2E9817" w14:textId="0D3216B4" w:rsidR="00096C0F" w:rsidRPr="00004DE4" w:rsidRDefault="00096C0F" w:rsidP="00FF3C48">
            <w:pPr>
              <w:rPr>
                <w:rFonts w:asciiTheme="minorHAnsi" w:hAnsiTheme="minorHAnsi" w:cstheme="minorHAnsi"/>
                <w:color w:val="000000" w:themeColor="text1"/>
              </w:rPr>
            </w:pPr>
            <w:r w:rsidRPr="00004DE4">
              <w:rPr>
                <w:rFonts w:asciiTheme="minorHAnsi" w:hAnsiTheme="minorHAnsi" w:cstheme="minorHAnsi"/>
                <w:color w:val="000000" w:themeColor="text1"/>
              </w:rPr>
              <w:t>9</w:t>
            </w:r>
            <w:r>
              <w:rPr>
                <w:rFonts w:asciiTheme="minorHAnsi" w:hAnsiTheme="minorHAnsi" w:cstheme="minorHAnsi"/>
                <w:color w:val="000000" w:themeColor="text1"/>
              </w:rPr>
              <w:t>:00</w:t>
            </w:r>
            <w:r w:rsidRPr="00004DE4">
              <w:rPr>
                <w:rFonts w:asciiTheme="minorHAnsi" w:hAnsiTheme="minorHAnsi" w:cstheme="minorHAnsi"/>
                <w:color w:val="000000" w:themeColor="text1"/>
              </w:rPr>
              <w:t>-9:15</w:t>
            </w:r>
          </w:p>
        </w:tc>
        <w:tc>
          <w:tcPr>
            <w:tcW w:w="7581" w:type="dxa"/>
            <w:tcMar>
              <w:top w:w="0" w:type="dxa"/>
              <w:left w:w="108" w:type="dxa"/>
              <w:bottom w:w="0" w:type="dxa"/>
              <w:right w:w="108" w:type="dxa"/>
            </w:tcMar>
          </w:tcPr>
          <w:p w14:paraId="328D8FF6" w14:textId="77777777" w:rsidR="00096C0F" w:rsidRPr="00004DE4" w:rsidRDefault="00096C0F" w:rsidP="001F284D">
            <w:pPr>
              <w:rPr>
                <w:rFonts w:asciiTheme="minorHAnsi" w:hAnsiTheme="minorHAnsi" w:cstheme="minorHAnsi"/>
                <w:color w:val="000000" w:themeColor="text1"/>
              </w:rPr>
            </w:pPr>
            <w:r w:rsidRPr="00004DE4">
              <w:rPr>
                <w:rFonts w:asciiTheme="minorHAnsi" w:hAnsiTheme="minorHAnsi" w:cstheme="minorHAnsi"/>
                <w:color w:val="000000" w:themeColor="text1"/>
              </w:rPr>
              <w:t>Highlights from Day 1 and speaker introductions: John McDermott and Ruth Meinzen-Dick (open to all IFPRI)</w:t>
            </w:r>
          </w:p>
        </w:tc>
      </w:tr>
      <w:tr w:rsidR="00096C0F" w:rsidRPr="00004DE4" w14:paraId="18C16961" w14:textId="77777777" w:rsidTr="008A187F">
        <w:tc>
          <w:tcPr>
            <w:tcW w:w="2157" w:type="dxa"/>
            <w:tcMar>
              <w:top w:w="0" w:type="dxa"/>
              <w:left w:w="108" w:type="dxa"/>
              <w:bottom w:w="0" w:type="dxa"/>
              <w:right w:w="108" w:type="dxa"/>
            </w:tcMar>
            <w:hideMark/>
          </w:tcPr>
          <w:p w14:paraId="3E0732F7" w14:textId="5A290F03" w:rsidR="00096C0F" w:rsidRPr="00004DE4" w:rsidRDefault="00096C0F">
            <w:pPr>
              <w:rPr>
                <w:rFonts w:asciiTheme="minorHAnsi" w:hAnsiTheme="minorHAnsi" w:cstheme="minorHAnsi"/>
                <w:color w:val="000000" w:themeColor="text1"/>
              </w:rPr>
            </w:pPr>
            <w:r>
              <w:rPr>
                <w:color w:val="000000" w:themeColor="text1"/>
              </w:rPr>
              <w:t>9:15-10:15</w:t>
            </w:r>
          </w:p>
        </w:tc>
        <w:tc>
          <w:tcPr>
            <w:tcW w:w="7581" w:type="dxa"/>
            <w:tcMar>
              <w:top w:w="0" w:type="dxa"/>
              <w:left w:w="108" w:type="dxa"/>
              <w:bottom w:w="0" w:type="dxa"/>
              <w:right w:w="108" w:type="dxa"/>
            </w:tcMar>
            <w:hideMark/>
          </w:tcPr>
          <w:p w14:paraId="353B1069" w14:textId="3A58625D" w:rsidR="00096C0F" w:rsidRPr="00004DE4" w:rsidRDefault="00096C0F" w:rsidP="00FF3C48">
            <w:pPr>
              <w:rPr>
                <w:rFonts w:asciiTheme="minorHAnsi" w:hAnsiTheme="minorHAnsi" w:cstheme="minorHAnsi"/>
                <w:color w:val="000000" w:themeColor="text1"/>
              </w:rPr>
            </w:pPr>
            <w:r>
              <w:rPr>
                <w:rFonts w:asciiTheme="minorHAnsi" w:hAnsiTheme="minorHAnsi" w:cstheme="minorHAnsi"/>
                <w:color w:val="000000" w:themeColor="text1"/>
              </w:rPr>
              <w:t>Keynote Presentation</w:t>
            </w:r>
            <w:r w:rsidRPr="00004DE4">
              <w:rPr>
                <w:rFonts w:asciiTheme="minorHAnsi" w:hAnsiTheme="minorHAnsi" w:cstheme="minorHAnsi"/>
                <w:color w:val="000000" w:themeColor="text1"/>
              </w:rPr>
              <w:t xml:space="preserve"> </w:t>
            </w:r>
          </w:p>
          <w:p w14:paraId="0A27179C" w14:textId="01BD6142" w:rsidR="00096C0F" w:rsidRPr="00004DE4" w:rsidRDefault="00B21F26" w:rsidP="00B21F26">
            <w:pPr>
              <w:pStyle w:val="ListParagraph"/>
              <w:numPr>
                <w:ilvl w:val="0"/>
                <w:numId w:val="4"/>
              </w:numPr>
              <w:rPr>
                <w:rFonts w:asciiTheme="minorHAnsi" w:hAnsiTheme="minorHAnsi" w:cstheme="minorHAnsi"/>
                <w:color w:val="000000" w:themeColor="text1"/>
              </w:rPr>
            </w:pPr>
            <w:r>
              <w:rPr>
                <w:color w:val="000000" w:themeColor="text1"/>
              </w:rPr>
              <w:t>Ed Heinemann, IFAD “</w:t>
            </w:r>
            <w:r w:rsidRPr="00B21F26">
              <w:rPr>
                <w:color w:val="000000" w:themeColor="text1"/>
              </w:rPr>
              <w:t>IFAD’s experience and emerging approach for engaging in national policy processes”</w:t>
            </w:r>
          </w:p>
        </w:tc>
      </w:tr>
      <w:tr w:rsidR="00096C0F" w:rsidRPr="00004DE4" w14:paraId="097A7D2C" w14:textId="3FB5F0DB" w:rsidTr="008A187F">
        <w:tc>
          <w:tcPr>
            <w:tcW w:w="2157" w:type="dxa"/>
            <w:tcMar>
              <w:top w:w="0" w:type="dxa"/>
              <w:left w:w="108" w:type="dxa"/>
              <w:bottom w:w="0" w:type="dxa"/>
              <w:right w:w="108" w:type="dxa"/>
            </w:tcMar>
          </w:tcPr>
          <w:p w14:paraId="5D2D33A1" w14:textId="73DC397D" w:rsidR="00096C0F" w:rsidRPr="00004DE4" w:rsidRDefault="00096C0F" w:rsidP="00FF3C48">
            <w:pPr>
              <w:rPr>
                <w:rFonts w:asciiTheme="minorHAnsi" w:hAnsiTheme="minorHAnsi" w:cstheme="minorHAnsi"/>
                <w:color w:val="000000" w:themeColor="text1"/>
              </w:rPr>
            </w:pPr>
            <w:r>
              <w:rPr>
                <w:color w:val="000000" w:themeColor="text1"/>
              </w:rPr>
              <w:t>10:15-10:30</w:t>
            </w:r>
          </w:p>
        </w:tc>
        <w:tc>
          <w:tcPr>
            <w:tcW w:w="7581" w:type="dxa"/>
            <w:tcMar>
              <w:top w:w="0" w:type="dxa"/>
              <w:left w:w="108" w:type="dxa"/>
              <w:bottom w:w="0" w:type="dxa"/>
              <w:right w:w="108" w:type="dxa"/>
            </w:tcMar>
          </w:tcPr>
          <w:p w14:paraId="2A2285F9" w14:textId="62966BE4" w:rsidR="00096C0F" w:rsidRPr="00004DE4" w:rsidRDefault="00096C0F" w:rsidP="00FF3C48">
            <w:pPr>
              <w:rPr>
                <w:rFonts w:asciiTheme="minorHAnsi" w:hAnsiTheme="minorHAnsi" w:cstheme="minorHAnsi"/>
                <w:color w:val="000000" w:themeColor="text1"/>
              </w:rPr>
            </w:pPr>
            <w:r>
              <w:rPr>
                <w:rFonts w:asciiTheme="minorHAnsi" w:hAnsiTheme="minorHAnsi" w:cstheme="minorHAnsi"/>
                <w:color w:val="000000" w:themeColor="text1"/>
              </w:rPr>
              <w:t>Break</w:t>
            </w:r>
          </w:p>
        </w:tc>
      </w:tr>
      <w:tr w:rsidR="00096C0F" w:rsidRPr="00004DE4" w14:paraId="41F352E5" w14:textId="77777777" w:rsidTr="008A187F">
        <w:tc>
          <w:tcPr>
            <w:tcW w:w="2157" w:type="dxa"/>
            <w:tcMar>
              <w:top w:w="0" w:type="dxa"/>
              <w:left w:w="108" w:type="dxa"/>
              <w:bottom w:w="0" w:type="dxa"/>
              <w:right w:w="108" w:type="dxa"/>
            </w:tcMar>
          </w:tcPr>
          <w:p w14:paraId="37FCD928" w14:textId="2B672DC1" w:rsidR="00096C0F" w:rsidRPr="00004DE4" w:rsidRDefault="00096C0F">
            <w:pPr>
              <w:rPr>
                <w:rFonts w:asciiTheme="minorHAnsi" w:hAnsiTheme="minorHAnsi" w:cstheme="minorHAnsi"/>
                <w:color w:val="000000" w:themeColor="text1"/>
              </w:rPr>
            </w:pPr>
            <w:r>
              <w:rPr>
                <w:color w:val="000000" w:themeColor="text1"/>
              </w:rPr>
              <w:t>10:30-11:30</w:t>
            </w:r>
          </w:p>
        </w:tc>
        <w:tc>
          <w:tcPr>
            <w:tcW w:w="7581" w:type="dxa"/>
            <w:tcMar>
              <w:top w:w="0" w:type="dxa"/>
              <w:left w:w="108" w:type="dxa"/>
              <w:bottom w:w="0" w:type="dxa"/>
              <w:right w:w="108" w:type="dxa"/>
            </w:tcMar>
          </w:tcPr>
          <w:p w14:paraId="266E7957" w14:textId="77777777" w:rsidR="00096C0F" w:rsidRPr="00004DE4" w:rsidRDefault="00096C0F" w:rsidP="00D92321">
            <w:pPr>
              <w:rPr>
                <w:rFonts w:asciiTheme="minorHAnsi" w:hAnsiTheme="minorHAnsi" w:cstheme="minorHAnsi"/>
                <w:color w:val="000000" w:themeColor="text1"/>
              </w:rPr>
            </w:pPr>
            <w:r>
              <w:rPr>
                <w:rFonts w:asciiTheme="minorHAnsi" w:hAnsiTheme="minorHAnsi" w:cstheme="minorHAnsi"/>
                <w:color w:val="000000" w:themeColor="text1"/>
              </w:rPr>
              <w:t>Keynote Presentation</w:t>
            </w:r>
            <w:r w:rsidRPr="00004DE4">
              <w:rPr>
                <w:rFonts w:asciiTheme="minorHAnsi" w:hAnsiTheme="minorHAnsi" w:cstheme="minorHAnsi"/>
                <w:color w:val="000000" w:themeColor="text1"/>
              </w:rPr>
              <w:t xml:space="preserve"> </w:t>
            </w:r>
          </w:p>
          <w:p w14:paraId="7A23940B" w14:textId="3052FFDC" w:rsidR="00096C0F" w:rsidRPr="00004DE4" w:rsidRDefault="00096C0F" w:rsidP="00095D29">
            <w:pPr>
              <w:pStyle w:val="ListParagraph"/>
              <w:numPr>
                <w:ilvl w:val="0"/>
                <w:numId w:val="4"/>
              </w:numPr>
              <w:rPr>
                <w:rFonts w:asciiTheme="minorHAnsi" w:hAnsiTheme="minorHAnsi" w:cstheme="minorHAnsi"/>
                <w:color w:val="000000" w:themeColor="text1"/>
              </w:rPr>
            </w:pPr>
            <w:proofErr w:type="spellStart"/>
            <w:r>
              <w:rPr>
                <w:rFonts w:asciiTheme="minorHAnsi" w:hAnsiTheme="minorHAnsi" w:cstheme="minorHAnsi"/>
                <w:color w:val="000000" w:themeColor="text1"/>
              </w:rPr>
              <w:t>Sanjeev</w:t>
            </w:r>
            <w:proofErr w:type="spellEnd"/>
            <w:r>
              <w:rPr>
                <w:rFonts w:asciiTheme="minorHAnsi" w:hAnsiTheme="minorHAnsi" w:cstheme="minorHAnsi"/>
                <w:color w:val="000000" w:themeColor="text1"/>
              </w:rPr>
              <w:t xml:space="preserve"> </w:t>
            </w:r>
            <w:proofErr w:type="spellStart"/>
            <w:r w:rsidRPr="00004DE4">
              <w:rPr>
                <w:rFonts w:asciiTheme="minorHAnsi" w:hAnsiTheme="minorHAnsi" w:cstheme="minorHAnsi"/>
                <w:color w:val="000000" w:themeColor="text1"/>
              </w:rPr>
              <w:t>Sridharan</w:t>
            </w:r>
            <w:proofErr w:type="spellEnd"/>
            <w:r>
              <w:rPr>
                <w:rFonts w:asciiTheme="minorHAnsi" w:hAnsiTheme="minorHAnsi" w:cstheme="minorHAnsi"/>
                <w:color w:val="000000" w:themeColor="text1"/>
              </w:rPr>
              <w:t>, University of Toronto</w:t>
            </w:r>
            <w:r w:rsidRPr="00004DE4">
              <w:rPr>
                <w:rFonts w:asciiTheme="minorHAnsi" w:hAnsiTheme="minorHAnsi" w:cstheme="minorHAnsi"/>
                <w:color w:val="000000" w:themeColor="text1"/>
              </w:rPr>
              <w:t xml:space="preserve">: </w:t>
            </w:r>
            <w:r>
              <w:rPr>
                <w:rFonts w:asciiTheme="minorHAnsi" w:hAnsiTheme="minorHAnsi" w:cstheme="minorHAnsi"/>
                <w:color w:val="000000" w:themeColor="text1"/>
              </w:rPr>
              <w:t>Evaluation of h</w:t>
            </w:r>
            <w:r w:rsidRPr="00004DE4">
              <w:rPr>
                <w:rFonts w:asciiTheme="minorHAnsi" w:hAnsiTheme="minorHAnsi" w:cstheme="minorHAnsi"/>
                <w:color w:val="000000" w:themeColor="text1"/>
              </w:rPr>
              <w:t>ealth policy proces</w:t>
            </w:r>
            <w:r>
              <w:rPr>
                <w:rFonts w:asciiTheme="minorHAnsi" w:hAnsiTheme="minorHAnsi" w:cstheme="minorHAnsi"/>
                <w:color w:val="000000" w:themeColor="text1"/>
              </w:rPr>
              <w:t>s</w:t>
            </w:r>
            <w:r w:rsidRPr="00004DE4">
              <w:rPr>
                <w:rFonts w:asciiTheme="minorHAnsi" w:hAnsiTheme="minorHAnsi" w:cstheme="minorHAnsi"/>
                <w:color w:val="000000" w:themeColor="text1"/>
              </w:rPr>
              <w:t>es</w:t>
            </w:r>
          </w:p>
        </w:tc>
      </w:tr>
      <w:tr w:rsidR="00096C0F" w:rsidRPr="00004DE4" w14:paraId="1FBE9CE4" w14:textId="77777777" w:rsidTr="008A187F">
        <w:trPr>
          <w:trHeight w:val="576"/>
        </w:trPr>
        <w:tc>
          <w:tcPr>
            <w:tcW w:w="2157" w:type="dxa"/>
            <w:tcMar>
              <w:top w:w="0" w:type="dxa"/>
              <w:left w:w="108" w:type="dxa"/>
              <w:bottom w:w="0" w:type="dxa"/>
              <w:right w:w="108" w:type="dxa"/>
            </w:tcMar>
          </w:tcPr>
          <w:p w14:paraId="33578F4F" w14:textId="6179D91B" w:rsidR="00096C0F" w:rsidRPr="00004DE4" w:rsidRDefault="00096C0F">
            <w:pPr>
              <w:rPr>
                <w:rFonts w:asciiTheme="minorHAnsi" w:hAnsiTheme="minorHAnsi" w:cstheme="minorHAnsi"/>
                <w:color w:val="000000" w:themeColor="text1"/>
              </w:rPr>
            </w:pPr>
            <w:r w:rsidRPr="00004DE4">
              <w:rPr>
                <w:rFonts w:asciiTheme="minorHAnsi" w:hAnsiTheme="minorHAnsi" w:cstheme="minorHAnsi"/>
                <w:color w:val="000000" w:themeColor="text1"/>
              </w:rPr>
              <w:t>1</w:t>
            </w:r>
            <w:r w:rsidR="00A26816">
              <w:rPr>
                <w:rFonts w:asciiTheme="minorHAnsi" w:hAnsiTheme="minorHAnsi" w:cstheme="minorHAnsi"/>
                <w:color w:val="000000" w:themeColor="text1"/>
              </w:rPr>
              <w:t>1</w:t>
            </w:r>
            <w:r w:rsidRPr="00004DE4">
              <w:rPr>
                <w:rFonts w:asciiTheme="minorHAnsi" w:hAnsiTheme="minorHAnsi" w:cstheme="minorHAnsi"/>
                <w:color w:val="000000" w:themeColor="text1"/>
              </w:rPr>
              <w:t>:</w:t>
            </w:r>
            <w:r>
              <w:rPr>
                <w:rFonts w:asciiTheme="minorHAnsi" w:hAnsiTheme="minorHAnsi" w:cstheme="minorHAnsi"/>
                <w:color w:val="000000" w:themeColor="text1"/>
              </w:rPr>
              <w:t>30</w:t>
            </w:r>
            <w:r w:rsidRPr="00004DE4">
              <w:rPr>
                <w:rFonts w:asciiTheme="minorHAnsi" w:hAnsiTheme="minorHAnsi" w:cstheme="minorHAnsi"/>
                <w:color w:val="000000" w:themeColor="text1"/>
              </w:rPr>
              <w:t>-1</w:t>
            </w:r>
            <w:r>
              <w:rPr>
                <w:rFonts w:asciiTheme="minorHAnsi" w:hAnsiTheme="minorHAnsi" w:cstheme="minorHAnsi"/>
                <w:color w:val="000000" w:themeColor="text1"/>
              </w:rPr>
              <w:t>2</w:t>
            </w:r>
            <w:r w:rsidRPr="00004DE4">
              <w:rPr>
                <w:rFonts w:asciiTheme="minorHAnsi" w:hAnsiTheme="minorHAnsi" w:cstheme="minorHAnsi"/>
                <w:color w:val="000000" w:themeColor="text1"/>
              </w:rPr>
              <w:t>:</w:t>
            </w:r>
            <w:r>
              <w:rPr>
                <w:rFonts w:asciiTheme="minorHAnsi" w:hAnsiTheme="minorHAnsi" w:cstheme="minorHAnsi"/>
                <w:color w:val="000000" w:themeColor="text1"/>
              </w:rPr>
              <w:t>3</w:t>
            </w:r>
            <w:r w:rsidRPr="00004DE4">
              <w:rPr>
                <w:rFonts w:asciiTheme="minorHAnsi" w:hAnsiTheme="minorHAnsi" w:cstheme="minorHAnsi"/>
                <w:color w:val="000000" w:themeColor="text1"/>
              </w:rPr>
              <w:t>0</w:t>
            </w:r>
          </w:p>
        </w:tc>
        <w:tc>
          <w:tcPr>
            <w:tcW w:w="7581" w:type="dxa"/>
            <w:tcMar>
              <w:top w:w="0" w:type="dxa"/>
              <w:left w:w="108" w:type="dxa"/>
              <w:bottom w:w="0" w:type="dxa"/>
              <w:right w:w="108" w:type="dxa"/>
            </w:tcMar>
          </w:tcPr>
          <w:p w14:paraId="4121A363" w14:textId="77777777" w:rsidR="00096C0F" w:rsidRPr="00004DE4" w:rsidRDefault="00096C0F" w:rsidP="001F284D">
            <w:pPr>
              <w:rPr>
                <w:rFonts w:asciiTheme="minorHAnsi" w:hAnsiTheme="minorHAnsi" w:cstheme="minorHAnsi"/>
                <w:color w:val="000000" w:themeColor="text1"/>
              </w:rPr>
            </w:pPr>
            <w:r w:rsidRPr="00004DE4">
              <w:rPr>
                <w:rFonts w:asciiTheme="minorHAnsi" w:hAnsiTheme="minorHAnsi" w:cstheme="minorHAnsi"/>
                <w:color w:val="000000" w:themeColor="text1"/>
              </w:rPr>
              <w:t xml:space="preserve">CRP studies: Engaging actors in the policy process </w:t>
            </w:r>
          </w:p>
          <w:p w14:paraId="4285F710" w14:textId="07C9054C" w:rsidR="00096C0F" w:rsidRPr="00004DE4" w:rsidRDefault="00096C0F" w:rsidP="001F284D">
            <w:pPr>
              <w:pStyle w:val="ListParagraph"/>
              <w:numPr>
                <w:ilvl w:val="0"/>
                <w:numId w:val="5"/>
              </w:numPr>
              <w:rPr>
                <w:rFonts w:asciiTheme="minorHAnsi" w:hAnsiTheme="minorHAnsi" w:cstheme="minorHAnsi"/>
                <w:color w:val="000000" w:themeColor="text1"/>
              </w:rPr>
            </w:pPr>
            <w:r w:rsidRPr="00004DE4">
              <w:rPr>
                <w:rFonts w:asciiTheme="minorHAnsi" w:hAnsiTheme="minorHAnsi" w:cstheme="minorHAnsi"/>
              </w:rPr>
              <w:t>“Agricultural policy processes and the youth in Southern Africa – the case of Malawi</w:t>
            </w:r>
            <w:r w:rsidRPr="00004DE4">
              <w:rPr>
                <w:rFonts w:asciiTheme="minorHAnsi" w:hAnsiTheme="minorHAnsi" w:cstheme="minorHAnsi"/>
                <w:color w:val="000000" w:themeColor="text1"/>
              </w:rPr>
              <w:t>,</w:t>
            </w:r>
            <w:r>
              <w:rPr>
                <w:rFonts w:asciiTheme="minorHAnsi" w:hAnsiTheme="minorHAnsi" w:cstheme="minorHAnsi"/>
                <w:color w:val="000000" w:themeColor="text1"/>
              </w:rPr>
              <w:t>”</w:t>
            </w:r>
            <w:r w:rsidRPr="00004DE4">
              <w:rPr>
                <w:rFonts w:asciiTheme="minorHAnsi" w:hAnsiTheme="minorHAnsi" w:cstheme="minorHAnsi"/>
                <w:color w:val="000000" w:themeColor="text1"/>
              </w:rPr>
              <w:t xml:space="preserve"> Mariam Mapila, IFPRI-Malawi</w:t>
            </w:r>
          </w:p>
          <w:p w14:paraId="28640272" w14:textId="769EFE64" w:rsidR="00096C0F" w:rsidRPr="00004DE4" w:rsidRDefault="00096C0F" w:rsidP="00095D29">
            <w:pPr>
              <w:pStyle w:val="ListParagraph"/>
              <w:numPr>
                <w:ilvl w:val="0"/>
                <w:numId w:val="5"/>
              </w:numPr>
              <w:rPr>
                <w:rFonts w:asciiTheme="minorHAnsi" w:hAnsiTheme="minorHAnsi" w:cstheme="minorHAnsi"/>
                <w:color w:val="000000" w:themeColor="text1"/>
              </w:rPr>
            </w:pPr>
            <w:r w:rsidRPr="00004DE4">
              <w:rPr>
                <w:rFonts w:asciiTheme="minorHAnsi" w:hAnsiTheme="minorHAnsi" w:cstheme="minorHAnsi"/>
                <w:bCs/>
                <w:color w:val="000000" w:themeColor="text1"/>
                <w:spacing w:val="4"/>
              </w:rPr>
              <w:t>“Colombian Agricultural Supply Chain Organizations: How Public Policy Shapes Agriculture</w:t>
            </w:r>
            <w:r>
              <w:rPr>
                <w:rFonts w:asciiTheme="minorHAnsi" w:hAnsiTheme="minorHAnsi" w:cstheme="minorHAnsi"/>
                <w:bCs/>
                <w:color w:val="000000" w:themeColor="text1"/>
                <w:spacing w:val="4"/>
              </w:rPr>
              <w:t xml:space="preserve"> and how value chain actors shape policy</w:t>
            </w:r>
            <w:r w:rsidRPr="00004DE4">
              <w:rPr>
                <w:rFonts w:asciiTheme="minorHAnsi" w:hAnsiTheme="minorHAnsi" w:cstheme="minorHAnsi"/>
                <w:bCs/>
                <w:color w:val="000000" w:themeColor="text1"/>
                <w:spacing w:val="4"/>
              </w:rPr>
              <w:t xml:space="preserve">,” Rafael </w:t>
            </w:r>
            <w:proofErr w:type="spellStart"/>
            <w:r w:rsidRPr="00004DE4">
              <w:rPr>
                <w:rFonts w:asciiTheme="minorHAnsi" w:hAnsiTheme="minorHAnsi" w:cstheme="minorHAnsi"/>
                <w:bCs/>
                <w:color w:val="000000" w:themeColor="text1"/>
                <w:spacing w:val="4"/>
              </w:rPr>
              <w:t>Perra</w:t>
            </w:r>
            <w:proofErr w:type="spellEnd"/>
            <w:r w:rsidRPr="00004DE4">
              <w:rPr>
                <w:rFonts w:asciiTheme="minorHAnsi" w:hAnsiTheme="minorHAnsi" w:cstheme="minorHAnsi"/>
                <w:bCs/>
                <w:color w:val="000000" w:themeColor="text1"/>
                <w:spacing w:val="4"/>
              </w:rPr>
              <w:t>-Pena, CIAT</w:t>
            </w:r>
          </w:p>
        </w:tc>
      </w:tr>
      <w:tr w:rsidR="00096C0F" w:rsidRPr="00004DE4" w14:paraId="5584A06A" w14:textId="77777777" w:rsidTr="008A187F">
        <w:tc>
          <w:tcPr>
            <w:tcW w:w="2157" w:type="dxa"/>
            <w:tcMar>
              <w:top w:w="0" w:type="dxa"/>
              <w:left w:w="108" w:type="dxa"/>
              <w:bottom w:w="0" w:type="dxa"/>
              <w:right w:w="108" w:type="dxa"/>
            </w:tcMar>
            <w:hideMark/>
          </w:tcPr>
          <w:p w14:paraId="6E95A99F" w14:textId="391EF340" w:rsidR="00096C0F" w:rsidRPr="00004DE4" w:rsidRDefault="00096C0F" w:rsidP="00FF3C48">
            <w:pPr>
              <w:rPr>
                <w:rFonts w:asciiTheme="minorHAnsi" w:hAnsiTheme="minorHAnsi" w:cstheme="minorHAnsi"/>
                <w:color w:val="000000" w:themeColor="text1"/>
              </w:rPr>
            </w:pPr>
            <w:r w:rsidRPr="00004DE4">
              <w:rPr>
                <w:rFonts w:asciiTheme="minorHAnsi" w:hAnsiTheme="minorHAnsi" w:cstheme="minorHAnsi"/>
                <w:color w:val="000000" w:themeColor="text1"/>
              </w:rPr>
              <w:t>1</w:t>
            </w:r>
            <w:r>
              <w:rPr>
                <w:rFonts w:asciiTheme="minorHAnsi" w:hAnsiTheme="minorHAnsi" w:cstheme="minorHAnsi"/>
                <w:color w:val="000000" w:themeColor="text1"/>
              </w:rPr>
              <w:t>2</w:t>
            </w:r>
            <w:r w:rsidRPr="00004DE4">
              <w:rPr>
                <w:rFonts w:asciiTheme="minorHAnsi" w:hAnsiTheme="minorHAnsi" w:cstheme="minorHAnsi"/>
                <w:color w:val="000000" w:themeColor="text1"/>
              </w:rPr>
              <w:t>:</w:t>
            </w:r>
            <w:r>
              <w:rPr>
                <w:rFonts w:asciiTheme="minorHAnsi" w:hAnsiTheme="minorHAnsi" w:cstheme="minorHAnsi"/>
                <w:color w:val="000000" w:themeColor="text1"/>
              </w:rPr>
              <w:t>3</w:t>
            </w:r>
            <w:r w:rsidRPr="00004DE4">
              <w:rPr>
                <w:rFonts w:asciiTheme="minorHAnsi" w:hAnsiTheme="minorHAnsi" w:cstheme="minorHAnsi"/>
                <w:color w:val="000000" w:themeColor="text1"/>
              </w:rPr>
              <w:t>0-</w:t>
            </w:r>
            <w:r>
              <w:rPr>
                <w:rFonts w:asciiTheme="minorHAnsi" w:hAnsiTheme="minorHAnsi" w:cstheme="minorHAnsi"/>
                <w:color w:val="000000" w:themeColor="text1"/>
              </w:rPr>
              <w:t>1</w:t>
            </w:r>
            <w:r w:rsidRPr="00004DE4">
              <w:rPr>
                <w:rFonts w:asciiTheme="minorHAnsi" w:hAnsiTheme="minorHAnsi" w:cstheme="minorHAnsi"/>
                <w:color w:val="000000" w:themeColor="text1"/>
              </w:rPr>
              <w:t>:</w:t>
            </w:r>
            <w:r>
              <w:rPr>
                <w:rFonts w:asciiTheme="minorHAnsi" w:hAnsiTheme="minorHAnsi" w:cstheme="minorHAnsi"/>
                <w:color w:val="000000" w:themeColor="text1"/>
              </w:rPr>
              <w:t>3</w:t>
            </w:r>
            <w:r w:rsidRPr="00004DE4">
              <w:rPr>
                <w:rFonts w:asciiTheme="minorHAnsi" w:hAnsiTheme="minorHAnsi" w:cstheme="minorHAnsi"/>
                <w:color w:val="000000" w:themeColor="text1"/>
              </w:rPr>
              <w:t>0</w:t>
            </w:r>
          </w:p>
        </w:tc>
        <w:tc>
          <w:tcPr>
            <w:tcW w:w="7581" w:type="dxa"/>
            <w:tcMar>
              <w:top w:w="0" w:type="dxa"/>
              <w:left w:w="108" w:type="dxa"/>
              <w:bottom w:w="0" w:type="dxa"/>
              <w:right w:w="108" w:type="dxa"/>
            </w:tcMar>
            <w:hideMark/>
          </w:tcPr>
          <w:p w14:paraId="7E992DF2" w14:textId="77777777" w:rsidR="00096C0F" w:rsidRPr="00004DE4" w:rsidRDefault="00096C0F" w:rsidP="00FF3C48">
            <w:pPr>
              <w:rPr>
                <w:rFonts w:asciiTheme="minorHAnsi" w:hAnsiTheme="minorHAnsi" w:cstheme="minorHAnsi"/>
                <w:color w:val="000000" w:themeColor="text1"/>
              </w:rPr>
            </w:pPr>
            <w:r w:rsidRPr="00004DE4">
              <w:rPr>
                <w:rFonts w:asciiTheme="minorHAnsi" w:hAnsiTheme="minorHAnsi" w:cstheme="minorHAnsi"/>
                <w:color w:val="000000" w:themeColor="text1"/>
              </w:rPr>
              <w:t>Lunch</w:t>
            </w:r>
          </w:p>
        </w:tc>
      </w:tr>
      <w:tr w:rsidR="00096C0F" w:rsidRPr="00004DE4" w14:paraId="3DFC09F4" w14:textId="77777777" w:rsidTr="008A187F">
        <w:tc>
          <w:tcPr>
            <w:tcW w:w="2157" w:type="dxa"/>
            <w:tcMar>
              <w:top w:w="0" w:type="dxa"/>
              <w:left w:w="108" w:type="dxa"/>
              <w:bottom w:w="0" w:type="dxa"/>
              <w:right w:w="108" w:type="dxa"/>
            </w:tcMar>
            <w:hideMark/>
          </w:tcPr>
          <w:p w14:paraId="5C0AD3F4" w14:textId="66D6D8F3" w:rsidR="00096C0F" w:rsidRPr="00004DE4" w:rsidRDefault="00096C0F" w:rsidP="00FF3C48">
            <w:pPr>
              <w:rPr>
                <w:rFonts w:asciiTheme="minorHAnsi" w:hAnsiTheme="minorHAnsi" w:cstheme="minorHAnsi"/>
                <w:color w:val="000000" w:themeColor="text1"/>
              </w:rPr>
            </w:pPr>
            <w:r>
              <w:rPr>
                <w:rFonts w:asciiTheme="minorHAnsi" w:hAnsiTheme="minorHAnsi" w:cstheme="minorHAnsi"/>
                <w:color w:val="000000" w:themeColor="text1"/>
              </w:rPr>
              <w:t>1</w:t>
            </w:r>
            <w:r w:rsidRPr="00004DE4">
              <w:rPr>
                <w:rFonts w:asciiTheme="minorHAnsi" w:hAnsiTheme="minorHAnsi" w:cstheme="minorHAnsi"/>
                <w:color w:val="000000" w:themeColor="text1"/>
              </w:rPr>
              <w:t>:</w:t>
            </w:r>
            <w:r>
              <w:rPr>
                <w:rFonts w:asciiTheme="minorHAnsi" w:hAnsiTheme="minorHAnsi" w:cstheme="minorHAnsi"/>
                <w:color w:val="000000" w:themeColor="text1"/>
              </w:rPr>
              <w:t>3</w:t>
            </w:r>
            <w:r w:rsidRPr="00004DE4">
              <w:rPr>
                <w:rFonts w:asciiTheme="minorHAnsi" w:hAnsiTheme="minorHAnsi" w:cstheme="minorHAnsi"/>
                <w:color w:val="000000" w:themeColor="text1"/>
              </w:rPr>
              <w:t>0-</w:t>
            </w:r>
            <w:r>
              <w:rPr>
                <w:rFonts w:asciiTheme="minorHAnsi" w:hAnsiTheme="minorHAnsi" w:cstheme="minorHAnsi"/>
                <w:color w:val="000000" w:themeColor="text1"/>
              </w:rPr>
              <w:t>2</w:t>
            </w:r>
            <w:r w:rsidRPr="00004DE4">
              <w:rPr>
                <w:rFonts w:asciiTheme="minorHAnsi" w:hAnsiTheme="minorHAnsi" w:cstheme="minorHAnsi"/>
                <w:color w:val="000000" w:themeColor="text1"/>
              </w:rPr>
              <w:t>:</w:t>
            </w:r>
            <w:r>
              <w:rPr>
                <w:rFonts w:asciiTheme="minorHAnsi" w:hAnsiTheme="minorHAnsi" w:cstheme="minorHAnsi"/>
                <w:color w:val="000000" w:themeColor="text1"/>
              </w:rPr>
              <w:t>3</w:t>
            </w:r>
            <w:r w:rsidRPr="00004DE4">
              <w:rPr>
                <w:rFonts w:asciiTheme="minorHAnsi" w:hAnsiTheme="minorHAnsi" w:cstheme="minorHAnsi"/>
                <w:color w:val="000000" w:themeColor="text1"/>
              </w:rPr>
              <w:t>0</w:t>
            </w:r>
          </w:p>
        </w:tc>
        <w:tc>
          <w:tcPr>
            <w:tcW w:w="7581" w:type="dxa"/>
            <w:tcMar>
              <w:top w:w="0" w:type="dxa"/>
              <w:left w:w="108" w:type="dxa"/>
              <w:bottom w:w="0" w:type="dxa"/>
              <w:right w:w="108" w:type="dxa"/>
            </w:tcMar>
            <w:hideMark/>
          </w:tcPr>
          <w:p w14:paraId="2672227E" w14:textId="77777777" w:rsidR="00096C0F" w:rsidRPr="00004DE4" w:rsidRDefault="00096C0F" w:rsidP="001F284D">
            <w:pPr>
              <w:rPr>
                <w:rFonts w:asciiTheme="minorHAnsi" w:hAnsiTheme="minorHAnsi" w:cstheme="minorHAnsi"/>
                <w:color w:val="000000" w:themeColor="text1"/>
              </w:rPr>
            </w:pPr>
            <w:r w:rsidRPr="00004DE4">
              <w:rPr>
                <w:rFonts w:asciiTheme="minorHAnsi" w:hAnsiTheme="minorHAnsi" w:cstheme="minorHAnsi"/>
                <w:color w:val="000000" w:themeColor="text1"/>
              </w:rPr>
              <w:t>CRP studies: Focus on engaging different/non-traditional  stakeholders and cross-</w:t>
            </w:r>
            <w:proofErr w:type="spellStart"/>
            <w:r w:rsidRPr="00004DE4">
              <w:rPr>
                <w:rFonts w:asciiTheme="minorHAnsi" w:hAnsiTheme="minorHAnsi" w:cstheme="minorHAnsi"/>
                <w:color w:val="000000" w:themeColor="text1"/>
              </w:rPr>
              <w:t>sectoral</w:t>
            </w:r>
            <w:proofErr w:type="spellEnd"/>
            <w:r w:rsidRPr="00004DE4">
              <w:rPr>
                <w:rFonts w:asciiTheme="minorHAnsi" w:hAnsiTheme="minorHAnsi" w:cstheme="minorHAnsi"/>
                <w:color w:val="000000" w:themeColor="text1"/>
              </w:rPr>
              <w:t xml:space="preserve"> collaboration</w:t>
            </w:r>
          </w:p>
          <w:p w14:paraId="03A1F001" w14:textId="77777777" w:rsidR="00096C0F" w:rsidRPr="00004DE4" w:rsidRDefault="00096C0F" w:rsidP="001F284D">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w:t>
            </w:r>
            <w:r w:rsidRPr="00004DE4">
              <w:rPr>
                <w:rFonts w:asciiTheme="minorHAnsi" w:hAnsiTheme="minorHAnsi" w:cstheme="minorHAnsi"/>
                <w:color w:val="000000" w:themeColor="text1"/>
              </w:rPr>
              <w:t>Drivers of Public Investment in Nutrition—Mozambique,</w:t>
            </w:r>
            <w:r>
              <w:rPr>
                <w:rFonts w:asciiTheme="minorHAnsi" w:hAnsiTheme="minorHAnsi" w:cstheme="minorHAnsi"/>
                <w:color w:val="000000" w:themeColor="text1"/>
              </w:rPr>
              <w:t>”</w:t>
            </w:r>
            <w:r w:rsidRPr="00004DE4">
              <w:rPr>
                <w:rFonts w:asciiTheme="minorHAnsi" w:hAnsiTheme="minorHAnsi" w:cstheme="minorHAnsi"/>
                <w:color w:val="000000" w:themeColor="text1"/>
              </w:rPr>
              <w:t xml:space="preserve"> Tewodaj Mogues, IFPRI</w:t>
            </w:r>
          </w:p>
          <w:p w14:paraId="4D1BC908" w14:textId="77FDE299" w:rsidR="00096C0F" w:rsidRPr="00004DE4" w:rsidRDefault="00096C0F" w:rsidP="008C5C5F">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 xml:space="preserve">Supporting agriculture and public health ministries to implement a national food safety policy based on risk-based approaches (Hung Nguyen, Hanoi School of Public Health and Lucy </w:t>
            </w:r>
            <w:proofErr w:type="spellStart"/>
            <w:r>
              <w:rPr>
                <w:rFonts w:asciiTheme="minorHAnsi" w:hAnsiTheme="minorHAnsi" w:cstheme="minorHAnsi"/>
                <w:color w:val="000000" w:themeColor="text1"/>
              </w:rPr>
              <w:t>Lapar</w:t>
            </w:r>
            <w:proofErr w:type="spellEnd"/>
            <w:r>
              <w:rPr>
                <w:rFonts w:asciiTheme="minorHAnsi" w:hAnsiTheme="minorHAnsi" w:cstheme="minorHAnsi"/>
                <w:color w:val="000000" w:themeColor="text1"/>
              </w:rPr>
              <w:t xml:space="preserve">, ILRI) </w:t>
            </w:r>
          </w:p>
        </w:tc>
      </w:tr>
      <w:tr w:rsidR="00096C0F" w:rsidRPr="00004DE4" w14:paraId="1A0BDAB1" w14:textId="3AED82FC" w:rsidTr="008A187F">
        <w:tc>
          <w:tcPr>
            <w:tcW w:w="2157" w:type="dxa"/>
            <w:tcMar>
              <w:top w:w="0" w:type="dxa"/>
              <w:left w:w="108" w:type="dxa"/>
              <w:bottom w:w="0" w:type="dxa"/>
              <w:right w:w="108" w:type="dxa"/>
            </w:tcMar>
          </w:tcPr>
          <w:p w14:paraId="66D388C3" w14:textId="5B4DD97D" w:rsidR="00096C0F" w:rsidRPr="00004DE4" w:rsidRDefault="00096C0F">
            <w:pPr>
              <w:rPr>
                <w:rFonts w:asciiTheme="minorHAnsi" w:hAnsiTheme="minorHAnsi" w:cstheme="minorHAnsi"/>
                <w:color w:val="000000" w:themeColor="text1"/>
              </w:rPr>
            </w:pPr>
            <w:r>
              <w:rPr>
                <w:rFonts w:asciiTheme="minorHAnsi" w:hAnsiTheme="minorHAnsi" w:cstheme="minorHAnsi"/>
                <w:color w:val="000000" w:themeColor="text1"/>
              </w:rPr>
              <w:t>2:30-3.00</w:t>
            </w:r>
          </w:p>
        </w:tc>
        <w:tc>
          <w:tcPr>
            <w:tcW w:w="7581" w:type="dxa"/>
            <w:tcMar>
              <w:top w:w="0" w:type="dxa"/>
              <w:left w:w="108" w:type="dxa"/>
              <w:bottom w:w="0" w:type="dxa"/>
              <w:right w:w="108" w:type="dxa"/>
            </w:tcMar>
          </w:tcPr>
          <w:p w14:paraId="5C328B03" w14:textId="549D69E0" w:rsidR="00096C0F" w:rsidRPr="00004DE4" w:rsidRDefault="00096C0F" w:rsidP="001F284D">
            <w:pPr>
              <w:rPr>
                <w:rFonts w:asciiTheme="minorHAnsi" w:hAnsiTheme="minorHAnsi" w:cstheme="minorHAnsi"/>
                <w:color w:val="000000" w:themeColor="text1"/>
              </w:rPr>
            </w:pPr>
            <w:r>
              <w:rPr>
                <w:rFonts w:asciiTheme="minorHAnsi" w:hAnsiTheme="minorHAnsi" w:cstheme="minorHAnsi"/>
                <w:color w:val="000000" w:themeColor="text1"/>
              </w:rPr>
              <w:t xml:space="preserve">Report back from Day </w:t>
            </w:r>
            <w:r w:rsidRPr="00004DE4">
              <w:rPr>
                <w:rFonts w:asciiTheme="minorHAnsi" w:hAnsiTheme="minorHAnsi" w:cstheme="minorHAnsi"/>
                <w:color w:val="000000" w:themeColor="text1"/>
              </w:rPr>
              <w:t>1 working groups</w:t>
            </w:r>
          </w:p>
        </w:tc>
      </w:tr>
      <w:tr w:rsidR="00096C0F" w:rsidRPr="00004DE4" w14:paraId="192EEC02" w14:textId="77777777" w:rsidTr="008A187F">
        <w:tc>
          <w:tcPr>
            <w:tcW w:w="2157" w:type="dxa"/>
            <w:tcMar>
              <w:top w:w="0" w:type="dxa"/>
              <w:left w:w="108" w:type="dxa"/>
              <w:bottom w:w="0" w:type="dxa"/>
              <w:right w:w="108" w:type="dxa"/>
            </w:tcMar>
          </w:tcPr>
          <w:p w14:paraId="15DE6FFD" w14:textId="1AB1ED05" w:rsidR="00096C0F" w:rsidRDefault="00096C0F" w:rsidP="00096C0F">
            <w:pPr>
              <w:rPr>
                <w:rFonts w:asciiTheme="minorHAnsi" w:hAnsiTheme="minorHAnsi" w:cstheme="minorHAnsi"/>
                <w:color w:val="000000" w:themeColor="text1"/>
              </w:rPr>
            </w:pPr>
            <w:r>
              <w:rPr>
                <w:rFonts w:asciiTheme="minorHAnsi" w:hAnsiTheme="minorHAnsi" w:cstheme="minorHAnsi"/>
                <w:color w:val="000000" w:themeColor="text1"/>
              </w:rPr>
              <w:t>3:00-3:30</w:t>
            </w:r>
          </w:p>
        </w:tc>
        <w:tc>
          <w:tcPr>
            <w:tcW w:w="7581" w:type="dxa"/>
            <w:tcMar>
              <w:top w:w="0" w:type="dxa"/>
              <w:left w:w="108" w:type="dxa"/>
              <w:bottom w:w="0" w:type="dxa"/>
              <w:right w:w="108" w:type="dxa"/>
            </w:tcMar>
          </w:tcPr>
          <w:p w14:paraId="117B060B" w14:textId="1D76F46E" w:rsidR="00096C0F" w:rsidRDefault="00096C0F" w:rsidP="001F284D">
            <w:pPr>
              <w:rPr>
                <w:rFonts w:asciiTheme="minorHAnsi" w:hAnsiTheme="minorHAnsi" w:cstheme="minorHAnsi"/>
                <w:color w:val="000000" w:themeColor="text1"/>
              </w:rPr>
            </w:pPr>
            <w:r>
              <w:rPr>
                <w:rFonts w:asciiTheme="minorHAnsi" w:hAnsiTheme="minorHAnsi" w:cstheme="minorHAnsi"/>
                <w:color w:val="000000" w:themeColor="text1"/>
              </w:rPr>
              <w:t>Break</w:t>
            </w:r>
          </w:p>
        </w:tc>
      </w:tr>
      <w:tr w:rsidR="00096C0F" w:rsidRPr="00004DE4" w14:paraId="3763373E" w14:textId="77777777" w:rsidTr="008A187F">
        <w:tc>
          <w:tcPr>
            <w:tcW w:w="2157" w:type="dxa"/>
            <w:tcMar>
              <w:top w:w="0" w:type="dxa"/>
              <w:left w:w="108" w:type="dxa"/>
              <w:bottom w:w="0" w:type="dxa"/>
              <w:right w:w="108" w:type="dxa"/>
            </w:tcMar>
            <w:hideMark/>
          </w:tcPr>
          <w:p w14:paraId="0916AB83" w14:textId="35F38B92" w:rsidR="00096C0F" w:rsidRPr="00004DE4" w:rsidRDefault="00096C0F">
            <w:pPr>
              <w:rPr>
                <w:rFonts w:asciiTheme="minorHAnsi" w:hAnsiTheme="minorHAnsi" w:cstheme="minorHAnsi"/>
                <w:color w:val="000000" w:themeColor="text1"/>
              </w:rPr>
            </w:pPr>
            <w:r w:rsidRPr="00004DE4">
              <w:rPr>
                <w:rFonts w:asciiTheme="minorHAnsi" w:hAnsiTheme="minorHAnsi" w:cstheme="minorHAnsi"/>
                <w:color w:val="000000" w:themeColor="text1"/>
              </w:rPr>
              <w:t>3:</w:t>
            </w:r>
            <w:r>
              <w:rPr>
                <w:rFonts w:asciiTheme="minorHAnsi" w:hAnsiTheme="minorHAnsi" w:cstheme="minorHAnsi"/>
                <w:color w:val="000000" w:themeColor="text1"/>
              </w:rPr>
              <w:t>3</w:t>
            </w:r>
            <w:r w:rsidRPr="00004DE4">
              <w:rPr>
                <w:rFonts w:asciiTheme="minorHAnsi" w:hAnsiTheme="minorHAnsi" w:cstheme="minorHAnsi"/>
                <w:color w:val="000000" w:themeColor="text1"/>
              </w:rPr>
              <w:t>0-5:30</w:t>
            </w:r>
          </w:p>
        </w:tc>
        <w:tc>
          <w:tcPr>
            <w:tcW w:w="7581" w:type="dxa"/>
            <w:tcMar>
              <w:top w:w="0" w:type="dxa"/>
              <w:left w:w="108" w:type="dxa"/>
              <w:bottom w:w="0" w:type="dxa"/>
              <w:right w:w="108" w:type="dxa"/>
            </w:tcMar>
            <w:hideMark/>
          </w:tcPr>
          <w:p w14:paraId="45BE7A36" w14:textId="62FD26EF" w:rsidR="00096C0F" w:rsidRPr="00004DE4" w:rsidRDefault="00096C0F" w:rsidP="001F284D">
            <w:pPr>
              <w:rPr>
                <w:rFonts w:asciiTheme="minorHAnsi" w:hAnsiTheme="minorHAnsi" w:cstheme="minorHAnsi"/>
                <w:color w:val="000000" w:themeColor="text1"/>
              </w:rPr>
            </w:pPr>
            <w:r w:rsidRPr="00004DE4">
              <w:rPr>
                <w:rFonts w:asciiTheme="minorHAnsi" w:hAnsiTheme="minorHAnsi" w:cstheme="minorHAnsi"/>
                <w:color w:val="000000" w:themeColor="text1"/>
              </w:rPr>
              <w:t>Working groups on methods for evaluating impacts of policy influence and other issues to be identified</w:t>
            </w:r>
          </w:p>
        </w:tc>
      </w:tr>
    </w:tbl>
    <w:p w14:paraId="744B2641" w14:textId="77777777" w:rsidR="004A60D3" w:rsidRPr="00004DE4" w:rsidRDefault="004A60D3" w:rsidP="00241862">
      <w:pPr>
        <w:rPr>
          <w:rFonts w:asciiTheme="minorHAnsi" w:hAnsiTheme="minorHAnsi" w:cstheme="minorHAnsi"/>
          <w:color w:val="000000" w:themeColor="text1"/>
        </w:rPr>
      </w:pPr>
      <w:r w:rsidRPr="00004DE4">
        <w:rPr>
          <w:rFonts w:asciiTheme="minorHAnsi" w:hAnsiTheme="minorHAnsi" w:cstheme="minorHAnsi"/>
          <w:color w:val="000000" w:themeColor="text1"/>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7"/>
        <w:gridCol w:w="7581"/>
      </w:tblGrid>
      <w:tr w:rsidR="00E9187E" w:rsidRPr="00004DE4" w14:paraId="31395313" w14:textId="77777777" w:rsidTr="00B126EE">
        <w:tc>
          <w:tcPr>
            <w:tcW w:w="9738" w:type="dxa"/>
            <w:gridSpan w:val="2"/>
            <w:shd w:val="clear" w:color="auto" w:fill="C6D9F1" w:themeFill="text2" w:themeFillTint="33"/>
            <w:tcMar>
              <w:top w:w="0" w:type="dxa"/>
              <w:left w:w="108" w:type="dxa"/>
              <w:bottom w:w="0" w:type="dxa"/>
              <w:right w:w="108" w:type="dxa"/>
            </w:tcMar>
          </w:tcPr>
          <w:p w14:paraId="73A8E3D5" w14:textId="2405B227" w:rsidR="00E9187E" w:rsidRPr="00004DE4" w:rsidRDefault="00E9187E" w:rsidP="008A187F">
            <w:pPr>
              <w:jc w:val="center"/>
              <w:rPr>
                <w:rFonts w:asciiTheme="minorHAnsi" w:hAnsiTheme="minorHAnsi" w:cstheme="minorHAnsi"/>
                <w:b/>
                <w:color w:val="000000" w:themeColor="text1"/>
              </w:rPr>
            </w:pPr>
            <w:r w:rsidRPr="00004DE4">
              <w:rPr>
                <w:rFonts w:asciiTheme="minorHAnsi" w:hAnsiTheme="minorHAnsi" w:cstheme="minorHAnsi"/>
                <w:b/>
                <w:color w:val="000000" w:themeColor="text1"/>
              </w:rPr>
              <w:t>Nov 20</w:t>
            </w:r>
          </w:p>
        </w:tc>
      </w:tr>
      <w:tr w:rsidR="00B65C25" w:rsidRPr="00004DE4" w14:paraId="03954916" w14:textId="77777777" w:rsidTr="008A187F">
        <w:tc>
          <w:tcPr>
            <w:tcW w:w="2157" w:type="dxa"/>
            <w:tcMar>
              <w:top w:w="0" w:type="dxa"/>
              <w:left w:w="108" w:type="dxa"/>
              <w:bottom w:w="0" w:type="dxa"/>
              <w:right w:w="108" w:type="dxa"/>
            </w:tcMar>
          </w:tcPr>
          <w:p w14:paraId="7F34D17F" w14:textId="4755440A" w:rsidR="00B65C25" w:rsidRPr="00004DE4" w:rsidRDefault="00B65C25" w:rsidP="00FF3C48">
            <w:pPr>
              <w:rPr>
                <w:rFonts w:asciiTheme="minorHAnsi" w:hAnsiTheme="minorHAnsi" w:cstheme="minorHAnsi"/>
                <w:color w:val="000000" w:themeColor="text1"/>
              </w:rPr>
            </w:pPr>
            <w:r w:rsidRPr="00004DE4">
              <w:rPr>
                <w:rFonts w:asciiTheme="minorHAnsi" w:hAnsiTheme="minorHAnsi" w:cstheme="minorHAnsi"/>
                <w:color w:val="000000" w:themeColor="text1"/>
              </w:rPr>
              <w:t>9-9:15</w:t>
            </w:r>
          </w:p>
        </w:tc>
        <w:tc>
          <w:tcPr>
            <w:tcW w:w="7581" w:type="dxa"/>
            <w:tcMar>
              <w:top w:w="0" w:type="dxa"/>
              <w:left w:w="108" w:type="dxa"/>
              <w:bottom w:w="0" w:type="dxa"/>
              <w:right w:w="108" w:type="dxa"/>
            </w:tcMar>
          </w:tcPr>
          <w:p w14:paraId="2855EDEC" w14:textId="77777777" w:rsidR="00B65C25" w:rsidRPr="00004DE4" w:rsidRDefault="00B65C25" w:rsidP="00FF3C48">
            <w:pPr>
              <w:rPr>
                <w:rFonts w:asciiTheme="minorHAnsi" w:hAnsiTheme="minorHAnsi" w:cstheme="minorHAnsi"/>
                <w:color w:val="000000" w:themeColor="text1"/>
              </w:rPr>
            </w:pPr>
            <w:r w:rsidRPr="00004DE4">
              <w:rPr>
                <w:rFonts w:asciiTheme="minorHAnsi" w:hAnsiTheme="minorHAnsi" w:cstheme="minorHAnsi"/>
                <w:color w:val="000000" w:themeColor="text1"/>
              </w:rPr>
              <w:t>Report back from Day 2 working groups and planning to finalize workshop outputs</w:t>
            </w:r>
          </w:p>
        </w:tc>
      </w:tr>
      <w:tr w:rsidR="00B65C25" w:rsidRPr="00004DE4" w14:paraId="12645233" w14:textId="77777777" w:rsidTr="008A187F">
        <w:trPr>
          <w:trHeight w:val="1016"/>
        </w:trPr>
        <w:tc>
          <w:tcPr>
            <w:tcW w:w="2157" w:type="dxa"/>
            <w:tcMar>
              <w:top w:w="0" w:type="dxa"/>
              <w:left w:w="108" w:type="dxa"/>
              <w:bottom w:w="0" w:type="dxa"/>
              <w:right w:w="108" w:type="dxa"/>
            </w:tcMar>
            <w:hideMark/>
          </w:tcPr>
          <w:p w14:paraId="11217603" w14:textId="4386378D" w:rsidR="00B65C25" w:rsidRPr="00004DE4" w:rsidRDefault="00B65C25">
            <w:pPr>
              <w:rPr>
                <w:rFonts w:asciiTheme="minorHAnsi" w:hAnsiTheme="minorHAnsi" w:cstheme="minorHAnsi"/>
                <w:color w:val="000000" w:themeColor="text1"/>
              </w:rPr>
            </w:pPr>
            <w:r w:rsidRPr="008C5C5F">
              <w:rPr>
                <w:rFonts w:asciiTheme="minorHAnsi" w:hAnsiTheme="minorHAnsi" w:cstheme="minorHAnsi"/>
                <w:color w:val="000000" w:themeColor="text1"/>
              </w:rPr>
              <w:t>9:15-1</w:t>
            </w:r>
            <w:r w:rsidR="009C6DFF" w:rsidRPr="008C5C5F">
              <w:rPr>
                <w:rFonts w:asciiTheme="minorHAnsi" w:hAnsiTheme="minorHAnsi" w:cstheme="minorHAnsi"/>
                <w:color w:val="000000" w:themeColor="text1"/>
              </w:rPr>
              <w:t>0:30</w:t>
            </w:r>
          </w:p>
        </w:tc>
        <w:tc>
          <w:tcPr>
            <w:tcW w:w="7581" w:type="dxa"/>
            <w:tcMar>
              <w:top w:w="0" w:type="dxa"/>
              <w:left w:w="108" w:type="dxa"/>
              <w:bottom w:w="0" w:type="dxa"/>
              <w:right w:w="108" w:type="dxa"/>
            </w:tcMar>
            <w:hideMark/>
          </w:tcPr>
          <w:p w14:paraId="30D795C7" w14:textId="4483DDB3" w:rsidR="00433441" w:rsidRDefault="00433441" w:rsidP="00433441">
            <w:pPr>
              <w:rPr>
                <w:rFonts w:asciiTheme="minorHAnsi" w:hAnsiTheme="minorHAnsi" w:cstheme="minorHAnsi"/>
                <w:color w:val="000000" w:themeColor="text1"/>
              </w:rPr>
            </w:pPr>
            <w:r>
              <w:rPr>
                <w:rFonts w:asciiTheme="minorHAnsi" w:hAnsiTheme="minorHAnsi" w:cstheme="minorHAnsi"/>
                <w:color w:val="000000" w:themeColor="text1"/>
              </w:rPr>
              <w:t>Policy Process Research Under Construction: India’s Food Security Act</w:t>
            </w:r>
          </w:p>
          <w:p w14:paraId="5999CFC1" w14:textId="77777777" w:rsidR="00433441" w:rsidRDefault="00433441" w:rsidP="00433441">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Presentation of proposed research by P K. Joshi, IFPRI NDO</w:t>
            </w:r>
          </w:p>
          <w:p w14:paraId="7CC3FE7E" w14:textId="77777777" w:rsidR="00433441" w:rsidRDefault="00433441" w:rsidP="00433441">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 xml:space="preserve">Discussant: Danielle </w:t>
            </w:r>
            <w:proofErr w:type="spellStart"/>
            <w:r>
              <w:rPr>
                <w:rFonts w:asciiTheme="minorHAnsi" w:hAnsiTheme="minorHAnsi" w:cstheme="minorHAnsi"/>
                <w:color w:val="000000" w:themeColor="text1"/>
              </w:rPr>
              <w:t>Resnick</w:t>
            </w:r>
            <w:proofErr w:type="spellEnd"/>
          </w:p>
          <w:p w14:paraId="4BB8FA3A" w14:textId="0E837BA3" w:rsidR="00B65C25" w:rsidRPr="00CE2632" w:rsidRDefault="008C5C5F" w:rsidP="00CE2632">
            <w:pPr>
              <w:rPr>
                <w:rFonts w:asciiTheme="minorHAnsi" w:hAnsiTheme="minorHAnsi" w:cstheme="minorHAnsi"/>
                <w:color w:val="000000" w:themeColor="text1"/>
              </w:rPr>
            </w:pPr>
            <w:r w:rsidRPr="00CE2632">
              <w:rPr>
                <w:rFonts w:asciiTheme="minorHAnsi" w:hAnsiTheme="minorHAnsi" w:cstheme="minorHAnsi"/>
                <w:color w:val="000000" w:themeColor="text1"/>
              </w:rPr>
              <w:t xml:space="preserve">Plenary </w:t>
            </w:r>
            <w:r w:rsidR="009C6DFF" w:rsidRPr="00CE2632">
              <w:rPr>
                <w:rFonts w:asciiTheme="minorHAnsi" w:hAnsiTheme="minorHAnsi" w:cstheme="minorHAnsi"/>
                <w:color w:val="000000" w:themeColor="text1"/>
              </w:rPr>
              <w:t>discussion</w:t>
            </w:r>
          </w:p>
        </w:tc>
      </w:tr>
      <w:tr w:rsidR="009C6DFF" w:rsidRPr="00004DE4" w14:paraId="387AFB35" w14:textId="77777777" w:rsidTr="008A187F">
        <w:tc>
          <w:tcPr>
            <w:tcW w:w="2157" w:type="dxa"/>
            <w:tcMar>
              <w:top w:w="0" w:type="dxa"/>
              <w:left w:w="108" w:type="dxa"/>
              <w:bottom w:w="0" w:type="dxa"/>
              <w:right w:w="108" w:type="dxa"/>
            </w:tcMar>
          </w:tcPr>
          <w:p w14:paraId="5CE5C45C" w14:textId="617D092F" w:rsidR="009C6DFF" w:rsidRPr="00004DE4" w:rsidRDefault="009C6DFF" w:rsidP="00FF3C48">
            <w:pPr>
              <w:rPr>
                <w:rFonts w:asciiTheme="minorHAnsi" w:hAnsiTheme="minorHAnsi" w:cstheme="minorHAnsi"/>
                <w:color w:val="000000" w:themeColor="text1"/>
              </w:rPr>
            </w:pPr>
            <w:r>
              <w:rPr>
                <w:rFonts w:asciiTheme="minorHAnsi" w:hAnsiTheme="minorHAnsi" w:cstheme="minorHAnsi"/>
                <w:color w:val="000000" w:themeColor="text1"/>
              </w:rPr>
              <w:t>10:30-11:00</w:t>
            </w:r>
          </w:p>
        </w:tc>
        <w:tc>
          <w:tcPr>
            <w:tcW w:w="7581" w:type="dxa"/>
            <w:tcMar>
              <w:top w:w="0" w:type="dxa"/>
              <w:left w:w="108" w:type="dxa"/>
              <w:bottom w:w="0" w:type="dxa"/>
              <w:right w:w="108" w:type="dxa"/>
            </w:tcMar>
          </w:tcPr>
          <w:p w14:paraId="75AAE75E" w14:textId="77777777" w:rsidR="009C6DFF" w:rsidRDefault="009C6DFF" w:rsidP="00433441">
            <w:pPr>
              <w:rPr>
                <w:rFonts w:asciiTheme="minorHAnsi" w:hAnsiTheme="minorHAnsi" w:cstheme="minorHAnsi"/>
                <w:color w:val="000000" w:themeColor="text1"/>
              </w:rPr>
            </w:pPr>
            <w:r>
              <w:rPr>
                <w:rFonts w:asciiTheme="minorHAnsi" w:hAnsiTheme="minorHAnsi" w:cstheme="minorHAnsi"/>
                <w:color w:val="000000" w:themeColor="text1"/>
              </w:rPr>
              <w:t>Break</w:t>
            </w:r>
          </w:p>
        </w:tc>
      </w:tr>
      <w:tr w:rsidR="00B65C25" w:rsidRPr="00004DE4" w14:paraId="43234728" w14:textId="77777777" w:rsidTr="008A187F">
        <w:trPr>
          <w:trHeight w:val="269"/>
        </w:trPr>
        <w:tc>
          <w:tcPr>
            <w:tcW w:w="2157" w:type="dxa"/>
            <w:vMerge w:val="restart"/>
            <w:tcMar>
              <w:top w:w="0" w:type="dxa"/>
              <w:left w:w="108" w:type="dxa"/>
              <w:bottom w:w="0" w:type="dxa"/>
              <w:right w:w="108" w:type="dxa"/>
            </w:tcMar>
          </w:tcPr>
          <w:p w14:paraId="2DB21AD0" w14:textId="61EAFFB1" w:rsidR="00B65C25" w:rsidRPr="00004DE4" w:rsidRDefault="00B65C25" w:rsidP="00FF3C48">
            <w:pPr>
              <w:rPr>
                <w:rFonts w:asciiTheme="minorHAnsi" w:hAnsiTheme="minorHAnsi" w:cstheme="minorHAnsi"/>
                <w:color w:val="000000" w:themeColor="text1"/>
              </w:rPr>
            </w:pPr>
            <w:r w:rsidRPr="00004DE4">
              <w:rPr>
                <w:rFonts w:asciiTheme="minorHAnsi" w:hAnsiTheme="minorHAnsi" w:cstheme="minorHAnsi"/>
                <w:color w:val="000000" w:themeColor="text1"/>
              </w:rPr>
              <w:t>11:</w:t>
            </w:r>
            <w:r w:rsidR="009C6DFF">
              <w:rPr>
                <w:rFonts w:asciiTheme="minorHAnsi" w:hAnsiTheme="minorHAnsi" w:cstheme="minorHAnsi"/>
                <w:color w:val="000000" w:themeColor="text1"/>
              </w:rPr>
              <w:t>00-12:</w:t>
            </w:r>
            <w:r w:rsidR="00096C0F">
              <w:rPr>
                <w:rFonts w:asciiTheme="minorHAnsi" w:hAnsiTheme="minorHAnsi" w:cstheme="minorHAnsi"/>
                <w:color w:val="000000" w:themeColor="text1"/>
              </w:rPr>
              <w:t>3</w:t>
            </w:r>
            <w:r w:rsidR="009C6DFF">
              <w:rPr>
                <w:rFonts w:asciiTheme="minorHAnsi" w:hAnsiTheme="minorHAnsi" w:cstheme="minorHAnsi"/>
                <w:color w:val="000000" w:themeColor="text1"/>
              </w:rPr>
              <w:t>0</w:t>
            </w:r>
          </w:p>
        </w:tc>
        <w:tc>
          <w:tcPr>
            <w:tcW w:w="7581" w:type="dxa"/>
            <w:vMerge w:val="restart"/>
            <w:tcMar>
              <w:top w:w="0" w:type="dxa"/>
              <w:left w:w="108" w:type="dxa"/>
              <w:bottom w:w="0" w:type="dxa"/>
              <w:right w:w="108" w:type="dxa"/>
            </w:tcMar>
          </w:tcPr>
          <w:p w14:paraId="3EA54B9F" w14:textId="6617089A" w:rsidR="009C6DFF" w:rsidRDefault="009C6DFF" w:rsidP="009C6DFF">
            <w:pPr>
              <w:rPr>
                <w:rFonts w:asciiTheme="minorHAnsi" w:hAnsiTheme="minorHAnsi" w:cstheme="minorHAnsi"/>
                <w:color w:val="000000" w:themeColor="text1"/>
              </w:rPr>
            </w:pPr>
            <w:r>
              <w:rPr>
                <w:rFonts w:asciiTheme="minorHAnsi" w:hAnsiTheme="minorHAnsi" w:cstheme="minorHAnsi"/>
                <w:color w:val="000000" w:themeColor="text1"/>
              </w:rPr>
              <w:t xml:space="preserve">Future Directions of Policy Process Research: </w:t>
            </w:r>
          </w:p>
          <w:p w14:paraId="5245DF53" w14:textId="5D95492B" w:rsidR="00096C0F" w:rsidRPr="008C5C5F" w:rsidRDefault="00096C0F" w:rsidP="009C6DFF">
            <w:pPr>
              <w:pStyle w:val="ListParagraph"/>
              <w:numPr>
                <w:ilvl w:val="0"/>
                <w:numId w:val="13"/>
              </w:numPr>
              <w:rPr>
                <w:rFonts w:asciiTheme="minorHAnsi" w:hAnsiTheme="minorHAnsi" w:cstheme="minorHAnsi"/>
                <w:color w:val="000000" w:themeColor="text1"/>
              </w:rPr>
            </w:pPr>
            <w:r w:rsidRPr="008C5C5F">
              <w:rPr>
                <w:rFonts w:asciiTheme="minorHAnsi" w:hAnsiTheme="minorHAnsi" w:cstheme="minorHAnsi"/>
                <w:color w:val="000000" w:themeColor="text1"/>
              </w:rPr>
              <w:t>EMBRAPA Policy process work: Reflections on the workshop</w:t>
            </w:r>
          </w:p>
          <w:p w14:paraId="0714D3F3" w14:textId="56F0A66F" w:rsidR="008A187F" w:rsidRPr="008C5C5F" w:rsidRDefault="008A187F" w:rsidP="009C6DFF">
            <w:pPr>
              <w:pStyle w:val="ListParagraph"/>
              <w:numPr>
                <w:ilvl w:val="0"/>
                <w:numId w:val="13"/>
              </w:numPr>
              <w:rPr>
                <w:rFonts w:asciiTheme="minorHAnsi" w:hAnsiTheme="minorHAnsi" w:cstheme="minorHAnsi"/>
                <w:color w:val="000000" w:themeColor="text1"/>
              </w:rPr>
            </w:pPr>
            <w:r w:rsidRPr="008C5C5F">
              <w:rPr>
                <w:rFonts w:asciiTheme="minorHAnsi" w:hAnsiTheme="minorHAnsi" w:cstheme="minorHAnsi"/>
                <w:color w:val="000000" w:themeColor="text1"/>
              </w:rPr>
              <w:t xml:space="preserve">IITA Policy Process work on </w:t>
            </w:r>
            <w:proofErr w:type="spellStart"/>
            <w:r w:rsidR="000858C7">
              <w:rPr>
                <w:rFonts w:asciiTheme="minorHAnsi" w:hAnsiTheme="minorHAnsi" w:cstheme="minorHAnsi"/>
                <w:color w:val="000000" w:themeColor="text1"/>
              </w:rPr>
              <w:t>a</w:t>
            </w:r>
            <w:r w:rsidRPr="008C5C5F">
              <w:rPr>
                <w:rFonts w:asciiTheme="minorHAnsi" w:hAnsiTheme="minorHAnsi" w:cstheme="minorHAnsi"/>
                <w:color w:val="000000" w:themeColor="text1"/>
              </w:rPr>
              <w:t>fl</w:t>
            </w:r>
            <w:r w:rsidR="00A26816">
              <w:rPr>
                <w:rFonts w:asciiTheme="minorHAnsi" w:hAnsiTheme="minorHAnsi" w:cstheme="minorHAnsi"/>
                <w:color w:val="000000" w:themeColor="text1"/>
              </w:rPr>
              <w:t>a</w:t>
            </w:r>
            <w:r w:rsidRPr="008C5C5F">
              <w:rPr>
                <w:rFonts w:asciiTheme="minorHAnsi" w:hAnsiTheme="minorHAnsi" w:cstheme="minorHAnsi"/>
                <w:color w:val="000000" w:themeColor="text1"/>
              </w:rPr>
              <w:t>toxins</w:t>
            </w:r>
            <w:proofErr w:type="spellEnd"/>
            <w:r w:rsidRPr="008C5C5F">
              <w:rPr>
                <w:rFonts w:asciiTheme="minorHAnsi" w:hAnsiTheme="minorHAnsi" w:cstheme="minorHAnsi"/>
                <w:color w:val="000000" w:themeColor="text1"/>
              </w:rPr>
              <w:t>: Reflections on the workshop</w:t>
            </w:r>
          </w:p>
          <w:p w14:paraId="1748963D" w14:textId="52C552CE" w:rsidR="00B65C25" w:rsidRDefault="00B65C25" w:rsidP="009C6DFF">
            <w:pPr>
              <w:pStyle w:val="ListParagraph"/>
              <w:numPr>
                <w:ilvl w:val="0"/>
                <w:numId w:val="13"/>
              </w:numPr>
              <w:rPr>
                <w:rFonts w:asciiTheme="minorHAnsi" w:hAnsiTheme="minorHAnsi" w:cstheme="minorHAnsi"/>
                <w:color w:val="000000" w:themeColor="text1"/>
              </w:rPr>
            </w:pPr>
            <w:r w:rsidRPr="00004DE4">
              <w:rPr>
                <w:rFonts w:asciiTheme="minorHAnsi" w:hAnsiTheme="minorHAnsi" w:cstheme="minorHAnsi"/>
                <w:color w:val="000000" w:themeColor="text1"/>
              </w:rPr>
              <w:t>Suresh</w:t>
            </w:r>
            <w:r w:rsidR="009C6DFF">
              <w:rPr>
                <w:rFonts w:asciiTheme="minorHAnsi" w:hAnsiTheme="minorHAnsi" w:cstheme="minorHAnsi"/>
                <w:color w:val="000000" w:themeColor="text1"/>
              </w:rPr>
              <w:t xml:space="preserve"> Babu: M</w:t>
            </w:r>
            <w:r w:rsidRPr="00004DE4">
              <w:rPr>
                <w:rFonts w:asciiTheme="minorHAnsi" w:hAnsiTheme="minorHAnsi" w:cstheme="minorHAnsi"/>
                <w:color w:val="000000" w:themeColor="text1"/>
              </w:rPr>
              <w:t xml:space="preserve">easurement of </w:t>
            </w:r>
            <w:r w:rsidR="009C6DFF">
              <w:rPr>
                <w:rFonts w:asciiTheme="minorHAnsi" w:hAnsiTheme="minorHAnsi" w:cstheme="minorHAnsi"/>
                <w:color w:val="000000" w:themeColor="text1"/>
              </w:rPr>
              <w:t>P</w:t>
            </w:r>
            <w:r w:rsidRPr="009C6DFF">
              <w:rPr>
                <w:rFonts w:asciiTheme="minorHAnsi" w:hAnsiTheme="minorHAnsi" w:cstheme="minorHAnsi"/>
                <w:color w:val="000000" w:themeColor="text1"/>
              </w:rPr>
              <w:t xml:space="preserve">olicy </w:t>
            </w:r>
            <w:r w:rsidR="009C6DFF">
              <w:rPr>
                <w:rFonts w:asciiTheme="minorHAnsi" w:hAnsiTheme="minorHAnsi" w:cstheme="minorHAnsi"/>
                <w:color w:val="000000" w:themeColor="text1"/>
              </w:rPr>
              <w:t>P</w:t>
            </w:r>
            <w:r w:rsidRPr="009C6DFF">
              <w:rPr>
                <w:rFonts w:asciiTheme="minorHAnsi" w:hAnsiTheme="minorHAnsi" w:cstheme="minorHAnsi"/>
                <w:color w:val="000000" w:themeColor="text1"/>
              </w:rPr>
              <w:t>rocess</w:t>
            </w:r>
            <w:r w:rsidR="009C6DFF">
              <w:rPr>
                <w:rFonts w:asciiTheme="minorHAnsi" w:hAnsiTheme="minorHAnsi" w:cstheme="minorHAnsi"/>
                <w:color w:val="000000" w:themeColor="text1"/>
              </w:rPr>
              <w:t>—What Role for I</w:t>
            </w:r>
            <w:r w:rsidRPr="009C6DFF">
              <w:rPr>
                <w:rFonts w:asciiTheme="minorHAnsi" w:hAnsiTheme="minorHAnsi" w:cstheme="minorHAnsi"/>
                <w:color w:val="000000" w:themeColor="text1"/>
              </w:rPr>
              <w:t>ndicators</w:t>
            </w:r>
            <w:r w:rsidR="009C6DFF">
              <w:rPr>
                <w:rFonts w:asciiTheme="minorHAnsi" w:hAnsiTheme="minorHAnsi" w:cstheme="minorHAnsi"/>
                <w:color w:val="000000" w:themeColor="text1"/>
              </w:rPr>
              <w:t xml:space="preserve"> and Indices?</w:t>
            </w:r>
          </w:p>
          <w:p w14:paraId="24BB5E74" w14:textId="4E79E7E9" w:rsidR="00B65C25" w:rsidRPr="00004DE4" w:rsidRDefault="009C6DFF" w:rsidP="006A0A98">
            <w:pPr>
              <w:rPr>
                <w:rFonts w:asciiTheme="minorHAnsi" w:hAnsiTheme="minorHAnsi" w:cstheme="minorHAnsi"/>
                <w:color w:val="000000" w:themeColor="text1"/>
              </w:rPr>
            </w:pPr>
            <w:r>
              <w:rPr>
                <w:rFonts w:asciiTheme="minorHAnsi" w:hAnsiTheme="minorHAnsi" w:cstheme="minorHAnsi"/>
                <w:color w:val="000000" w:themeColor="text1"/>
              </w:rPr>
              <w:t>Discussion</w:t>
            </w:r>
          </w:p>
        </w:tc>
      </w:tr>
      <w:tr w:rsidR="00B65C25" w:rsidRPr="00004DE4" w14:paraId="339314EA" w14:textId="77777777" w:rsidTr="008A187F">
        <w:trPr>
          <w:trHeight w:val="324"/>
        </w:trPr>
        <w:tc>
          <w:tcPr>
            <w:tcW w:w="2157" w:type="dxa"/>
            <w:vMerge/>
            <w:tcMar>
              <w:top w:w="0" w:type="dxa"/>
              <w:left w:w="108" w:type="dxa"/>
              <w:bottom w:w="0" w:type="dxa"/>
              <w:right w:w="108" w:type="dxa"/>
            </w:tcMar>
          </w:tcPr>
          <w:p w14:paraId="3B6D9A28" w14:textId="77777777" w:rsidR="00B65C25" w:rsidRPr="00004DE4" w:rsidRDefault="00B65C25" w:rsidP="00FF3C48">
            <w:pPr>
              <w:rPr>
                <w:rFonts w:asciiTheme="minorHAnsi" w:hAnsiTheme="minorHAnsi" w:cstheme="minorHAnsi"/>
                <w:color w:val="000000" w:themeColor="text1"/>
              </w:rPr>
            </w:pPr>
          </w:p>
        </w:tc>
        <w:tc>
          <w:tcPr>
            <w:tcW w:w="7581" w:type="dxa"/>
            <w:vMerge/>
            <w:tcMar>
              <w:top w:w="0" w:type="dxa"/>
              <w:left w:w="108" w:type="dxa"/>
              <w:bottom w:w="0" w:type="dxa"/>
              <w:right w:w="108" w:type="dxa"/>
            </w:tcMar>
          </w:tcPr>
          <w:p w14:paraId="76BFB516" w14:textId="77777777" w:rsidR="00B65C25" w:rsidRPr="00004DE4" w:rsidRDefault="00B65C25" w:rsidP="00FF3C48">
            <w:pPr>
              <w:rPr>
                <w:rFonts w:asciiTheme="minorHAnsi" w:hAnsiTheme="minorHAnsi" w:cstheme="minorHAnsi"/>
                <w:color w:val="000000" w:themeColor="text1"/>
              </w:rPr>
            </w:pPr>
          </w:p>
        </w:tc>
      </w:tr>
      <w:tr w:rsidR="00B65C25" w:rsidRPr="00004DE4" w14:paraId="4645D276" w14:textId="77777777" w:rsidTr="008A187F">
        <w:tc>
          <w:tcPr>
            <w:tcW w:w="2157" w:type="dxa"/>
            <w:tcMar>
              <w:top w:w="0" w:type="dxa"/>
              <w:left w:w="108" w:type="dxa"/>
              <w:bottom w:w="0" w:type="dxa"/>
              <w:right w:w="108" w:type="dxa"/>
            </w:tcMar>
            <w:hideMark/>
          </w:tcPr>
          <w:p w14:paraId="2C961B84" w14:textId="6CC7436E" w:rsidR="00B65C25" w:rsidRPr="00004DE4" w:rsidRDefault="00B65C25" w:rsidP="00FF3C48">
            <w:pPr>
              <w:rPr>
                <w:rFonts w:asciiTheme="minorHAnsi" w:hAnsiTheme="minorHAnsi" w:cstheme="minorHAnsi"/>
                <w:color w:val="000000" w:themeColor="text1"/>
              </w:rPr>
            </w:pPr>
            <w:r w:rsidRPr="00004DE4">
              <w:rPr>
                <w:rFonts w:asciiTheme="minorHAnsi" w:hAnsiTheme="minorHAnsi" w:cstheme="minorHAnsi"/>
                <w:color w:val="000000" w:themeColor="text1"/>
              </w:rPr>
              <w:t>1</w:t>
            </w:r>
            <w:r w:rsidR="00E9187E">
              <w:rPr>
                <w:rFonts w:asciiTheme="minorHAnsi" w:hAnsiTheme="minorHAnsi" w:cstheme="minorHAnsi"/>
                <w:color w:val="000000" w:themeColor="text1"/>
              </w:rPr>
              <w:t>2</w:t>
            </w:r>
            <w:r w:rsidR="009C6DFF">
              <w:rPr>
                <w:rFonts w:asciiTheme="minorHAnsi" w:hAnsiTheme="minorHAnsi" w:cstheme="minorHAnsi"/>
                <w:color w:val="000000" w:themeColor="text1"/>
              </w:rPr>
              <w:t>:</w:t>
            </w:r>
            <w:r w:rsidR="00E9187E">
              <w:rPr>
                <w:rFonts w:asciiTheme="minorHAnsi" w:hAnsiTheme="minorHAnsi" w:cstheme="minorHAnsi"/>
                <w:color w:val="000000" w:themeColor="text1"/>
              </w:rPr>
              <w:t>3</w:t>
            </w:r>
            <w:r w:rsidR="009C6DFF">
              <w:rPr>
                <w:rFonts w:asciiTheme="minorHAnsi" w:hAnsiTheme="minorHAnsi" w:cstheme="minorHAnsi"/>
                <w:color w:val="000000" w:themeColor="text1"/>
              </w:rPr>
              <w:t>0</w:t>
            </w:r>
            <w:r w:rsidR="008C5C5F">
              <w:rPr>
                <w:rFonts w:asciiTheme="minorHAnsi" w:hAnsiTheme="minorHAnsi" w:cstheme="minorHAnsi"/>
                <w:color w:val="000000" w:themeColor="text1"/>
              </w:rPr>
              <w:t>-</w:t>
            </w:r>
            <w:r w:rsidR="00096C0F">
              <w:rPr>
                <w:rFonts w:asciiTheme="minorHAnsi" w:hAnsiTheme="minorHAnsi" w:cstheme="minorHAnsi"/>
                <w:color w:val="000000" w:themeColor="text1"/>
              </w:rPr>
              <w:t>1:00</w:t>
            </w:r>
          </w:p>
        </w:tc>
        <w:tc>
          <w:tcPr>
            <w:tcW w:w="7581" w:type="dxa"/>
            <w:tcMar>
              <w:top w:w="0" w:type="dxa"/>
              <w:left w:w="108" w:type="dxa"/>
              <w:bottom w:w="0" w:type="dxa"/>
              <w:right w:w="108" w:type="dxa"/>
            </w:tcMar>
            <w:hideMark/>
          </w:tcPr>
          <w:p w14:paraId="15AA6DDF" w14:textId="77777777" w:rsidR="00B65C25" w:rsidRPr="00004DE4" w:rsidRDefault="00B65C25" w:rsidP="00B65C25">
            <w:pPr>
              <w:rPr>
                <w:rFonts w:asciiTheme="minorHAnsi" w:hAnsiTheme="minorHAnsi" w:cstheme="minorHAnsi"/>
                <w:color w:val="000000" w:themeColor="text1"/>
              </w:rPr>
            </w:pPr>
            <w:r w:rsidRPr="00004DE4">
              <w:rPr>
                <w:rFonts w:asciiTheme="minorHAnsi" w:hAnsiTheme="minorHAnsi" w:cstheme="minorHAnsi"/>
                <w:color w:val="000000" w:themeColor="text1"/>
              </w:rPr>
              <w:t>Next steps and close</w:t>
            </w:r>
          </w:p>
        </w:tc>
      </w:tr>
    </w:tbl>
    <w:p w14:paraId="7FA7D985" w14:textId="77777777" w:rsidR="00A726CD" w:rsidRPr="00004DE4" w:rsidRDefault="00A726CD" w:rsidP="00241862">
      <w:pPr>
        <w:rPr>
          <w:rFonts w:asciiTheme="minorHAnsi" w:hAnsiTheme="minorHAnsi" w:cstheme="minorHAnsi"/>
          <w:color w:val="000000" w:themeColor="text1"/>
        </w:rPr>
      </w:pPr>
    </w:p>
    <w:sectPr w:rsidR="00A726CD" w:rsidRPr="0000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798"/>
    <w:multiLevelType w:val="hybridMultilevel"/>
    <w:tmpl w:val="7978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932D4"/>
    <w:multiLevelType w:val="hybridMultilevel"/>
    <w:tmpl w:val="386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7CB0"/>
    <w:multiLevelType w:val="hybridMultilevel"/>
    <w:tmpl w:val="9D28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77DE5"/>
    <w:multiLevelType w:val="hybridMultilevel"/>
    <w:tmpl w:val="36BC1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EE106D"/>
    <w:multiLevelType w:val="hybridMultilevel"/>
    <w:tmpl w:val="A0E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660D"/>
    <w:multiLevelType w:val="hybridMultilevel"/>
    <w:tmpl w:val="74B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9252C"/>
    <w:multiLevelType w:val="hybridMultilevel"/>
    <w:tmpl w:val="817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64D74"/>
    <w:multiLevelType w:val="hybridMultilevel"/>
    <w:tmpl w:val="382A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B7CC2"/>
    <w:multiLevelType w:val="hybridMultilevel"/>
    <w:tmpl w:val="3EC8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4107B"/>
    <w:multiLevelType w:val="hybridMultilevel"/>
    <w:tmpl w:val="C8D0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E0D5E"/>
    <w:multiLevelType w:val="hybridMultilevel"/>
    <w:tmpl w:val="E28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230EE"/>
    <w:multiLevelType w:val="hybridMultilevel"/>
    <w:tmpl w:val="5B2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A1251"/>
    <w:multiLevelType w:val="hybridMultilevel"/>
    <w:tmpl w:val="E7147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9"/>
  </w:num>
  <w:num w:numId="6">
    <w:abstractNumId w:val="5"/>
  </w:num>
  <w:num w:numId="7">
    <w:abstractNumId w:val="3"/>
  </w:num>
  <w:num w:numId="8">
    <w:abstractNumId w:val="7"/>
  </w:num>
  <w:num w:numId="9">
    <w:abstractNumId w:val="11"/>
  </w:num>
  <w:num w:numId="10">
    <w:abstractNumId w:val="1"/>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62"/>
    <w:rsid w:val="00004DE4"/>
    <w:rsid w:val="000858C7"/>
    <w:rsid w:val="00095D29"/>
    <w:rsid w:val="00096C0F"/>
    <w:rsid w:val="001F284D"/>
    <w:rsid w:val="00211645"/>
    <w:rsid w:val="002176D5"/>
    <w:rsid w:val="00241862"/>
    <w:rsid w:val="002F335B"/>
    <w:rsid w:val="003200CF"/>
    <w:rsid w:val="00352CDF"/>
    <w:rsid w:val="00433441"/>
    <w:rsid w:val="0044743C"/>
    <w:rsid w:val="004A60D3"/>
    <w:rsid w:val="004B60F8"/>
    <w:rsid w:val="004D1503"/>
    <w:rsid w:val="005820B6"/>
    <w:rsid w:val="006A0A98"/>
    <w:rsid w:val="006D6CFB"/>
    <w:rsid w:val="00736E7F"/>
    <w:rsid w:val="00804266"/>
    <w:rsid w:val="00897E8C"/>
    <w:rsid w:val="008A187F"/>
    <w:rsid w:val="008C5C5F"/>
    <w:rsid w:val="009250B1"/>
    <w:rsid w:val="009C6DFF"/>
    <w:rsid w:val="00A04A3A"/>
    <w:rsid w:val="00A26816"/>
    <w:rsid w:val="00A607C0"/>
    <w:rsid w:val="00A65AEC"/>
    <w:rsid w:val="00A726CD"/>
    <w:rsid w:val="00AC29A1"/>
    <w:rsid w:val="00B21F26"/>
    <w:rsid w:val="00B65C25"/>
    <w:rsid w:val="00B97D1F"/>
    <w:rsid w:val="00CE2632"/>
    <w:rsid w:val="00D92321"/>
    <w:rsid w:val="00DB23BF"/>
    <w:rsid w:val="00E17838"/>
    <w:rsid w:val="00E9187E"/>
    <w:rsid w:val="00E97869"/>
    <w:rsid w:val="00EE12D7"/>
    <w:rsid w:val="00E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D9"/>
    <w:rPr>
      <w:rFonts w:ascii="Tahoma" w:hAnsi="Tahoma" w:cs="Tahoma"/>
      <w:sz w:val="16"/>
      <w:szCs w:val="16"/>
    </w:rPr>
  </w:style>
  <w:style w:type="character" w:customStyle="1" w:styleId="BalloonTextChar">
    <w:name w:val="Balloon Text Char"/>
    <w:basedOn w:val="DefaultParagraphFont"/>
    <w:link w:val="BalloonText"/>
    <w:uiPriority w:val="99"/>
    <w:semiHidden/>
    <w:rsid w:val="00EF63D9"/>
    <w:rPr>
      <w:rFonts w:ascii="Tahoma" w:hAnsi="Tahoma" w:cs="Tahoma"/>
      <w:sz w:val="16"/>
      <w:szCs w:val="16"/>
    </w:rPr>
  </w:style>
  <w:style w:type="character" w:styleId="CommentReference">
    <w:name w:val="annotation reference"/>
    <w:basedOn w:val="DefaultParagraphFont"/>
    <w:uiPriority w:val="99"/>
    <w:semiHidden/>
    <w:unhideWhenUsed/>
    <w:rsid w:val="00DB23BF"/>
    <w:rPr>
      <w:sz w:val="16"/>
      <w:szCs w:val="16"/>
    </w:rPr>
  </w:style>
  <w:style w:type="paragraph" w:styleId="CommentText">
    <w:name w:val="annotation text"/>
    <w:basedOn w:val="Normal"/>
    <w:link w:val="CommentTextChar"/>
    <w:uiPriority w:val="99"/>
    <w:semiHidden/>
    <w:unhideWhenUsed/>
    <w:rsid w:val="00DB23BF"/>
    <w:rPr>
      <w:sz w:val="20"/>
      <w:szCs w:val="20"/>
    </w:rPr>
  </w:style>
  <w:style w:type="character" w:customStyle="1" w:styleId="CommentTextChar">
    <w:name w:val="Comment Text Char"/>
    <w:basedOn w:val="DefaultParagraphFont"/>
    <w:link w:val="CommentText"/>
    <w:uiPriority w:val="99"/>
    <w:semiHidden/>
    <w:rsid w:val="00DB23B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23BF"/>
    <w:rPr>
      <w:b/>
      <w:bCs/>
    </w:rPr>
  </w:style>
  <w:style w:type="character" w:customStyle="1" w:styleId="CommentSubjectChar">
    <w:name w:val="Comment Subject Char"/>
    <w:basedOn w:val="CommentTextChar"/>
    <w:link w:val="CommentSubject"/>
    <w:uiPriority w:val="99"/>
    <w:semiHidden/>
    <w:rsid w:val="00DB23BF"/>
    <w:rPr>
      <w:rFonts w:ascii="Calibri" w:hAnsi="Calibri" w:cs="Calibri"/>
      <w:b/>
      <w:bCs/>
      <w:sz w:val="20"/>
      <w:szCs w:val="20"/>
    </w:rPr>
  </w:style>
  <w:style w:type="paragraph" w:styleId="ListParagraph">
    <w:name w:val="List Paragraph"/>
    <w:basedOn w:val="Normal"/>
    <w:uiPriority w:val="34"/>
    <w:qFormat/>
    <w:rsid w:val="00A726CD"/>
    <w:pPr>
      <w:ind w:left="720"/>
      <w:contextualSpacing/>
    </w:pPr>
  </w:style>
  <w:style w:type="character" w:styleId="Hyperlink">
    <w:name w:val="Hyperlink"/>
    <w:uiPriority w:val="99"/>
    <w:unhideWhenUsed/>
    <w:rsid w:val="00004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D9"/>
    <w:rPr>
      <w:rFonts w:ascii="Tahoma" w:hAnsi="Tahoma" w:cs="Tahoma"/>
      <w:sz w:val="16"/>
      <w:szCs w:val="16"/>
    </w:rPr>
  </w:style>
  <w:style w:type="character" w:customStyle="1" w:styleId="BalloonTextChar">
    <w:name w:val="Balloon Text Char"/>
    <w:basedOn w:val="DefaultParagraphFont"/>
    <w:link w:val="BalloonText"/>
    <w:uiPriority w:val="99"/>
    <w:semiHidden/>
    <w:rsid w:val="00EF63D9"/>
    <w:rPr>
      <w:rFonts w:ascii="Tahoma" w:hAnsi="Tahoma" w:cs="Tahoma"/>
      <w:sz w:val="16"/>
      <w:szCs w:val="16"/>
    </w:rPr>
  </w:style>
  <w:style w:type="character" w:styleId="CommentReference">
    <w:name w:val="annotation reference"/>
    <w:basedOn w:val="DefaultParagraphFont"/>
    <w:uiPriority w:val="99"/>
    <w:semiHidden/>
    <w:unhideWhenUsed/>
    <w:rsid w:val="00DB23BF"/>
    <w:rPr>
      <w:sz w:val="16"/>
      <w:szCs w:val="16"/>
    </w:rPr>
  </w:style>
  <w:style w:type="paragraph" w:styleId="CommentText">
    <w:name w:val="annotation text"/>
    <w:basedOn w:val="Normal"/>
    <w:link w:val="CommentTextChar"/>
    <w:uiPriority w:val="99"/>
    <w:semiHidden/>
    <w:unhideWhenUsed/>
    <w:rsid w:val="00DB23BF"/>
    <w:rPr>
      <w:sz w:val="20"/>
      <w:szCs w:val="20"/>
    </w:rPr>
  </w:style>
  <w:style w:type="character" w:customStyle="1" w:styleId="CommentTextChar">
    <w:name w:val="Comment Text Char"/>
    <w:basedOn w:val="DefaultParagraphFont"/>
    <w:link w:val="CommentText"/>
    <w:uiPriority w:val="99"/>
    <w:semiHidden/>
    <w:rsid w:val="00DB23B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23BF"/>
    <w:rPr>
      <w:b/>
      <w:bCs/>
    </w:rPr>
  </w:style>
  <w:style w:type="character" w:customStyle="1" w:styleId="CommentSubjectChar">
    <w:name w:val="Comment Subject Char"/>
    <w:basedOn w:val="CommentTextChar"/>
    <w:link w:val="CommentSubject"/>
    <w:uiPriority w:val="99"/>
    <w:semiHidden/>
    <w:rsid w:val="00DB23BF"/>
    <w:rPr>
      <w:rFonts w:ascii="Calibri" w:hAnsi="Calibri" w:cs="Calibri"/>
      <w:b/>
      <w:bCs/>
      <w:sz w:val="20"/>
      <w:szCs w:val="20"/>
    </w:rPr>
  </w:style>
  <w:style w:type="paragraph" w:styleId="ListParagraph">
    <w:name w:val="List Paragraph"/>
    <w:basedOn w:val="Normal"/>
    <w:uiPriority w:val="34"/>
    <w:qFormat/>
    <w:rsid w:val="00A726CD"/>
    <w:pPr>
      <w:ind w:left="720"/>
      <w:contextualSpacing/>
    </w:pPr>
  </w:style>
  <w:style w:type="character" w:styleId="Hyperlink">
    <w:name w:val="Hyperlink"/>
    <w:uiPriority w:val="99"/>
    <w:unhideWhenUsed/>
    <w:rsid w:val="00004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7354">
      <w:bodyDiv w:val="1"/>
      <w:marLeft w:val="0"/>
      <w:marRight w:val="0"/>
      <w:marTop w:val="0"/>
      <w:marBottom w:val="0"/>
      <w:divBdr>
        <w:top w:val="none" w:sz="0" w:space="0" w:color="auto"/>
        <w:left w:val="none" w:sz="0" w:space="0" w:color="auto"/>
        <w:bottom w:val="none" w:sz="0" w:space="0" w:color="auto"/>
        <w:right w:val="none" w:sz="0" w:space="0" w:color="auto"/>
      </w:divBdr>
    </w:div>
    <w:div w:id="1338339302">
      <w:bodyDiv w:val="1"/>
      <w:marLeft w:val="0"/>
      <w:marRight w:val="0"/>
      <w:marTop w:val="0"/>
      <w:marBottom w:val="0"/>
      <w:divBdr>
        <w:top w:val="none" w:sz="0" w:space="0" w:color="auto"/>
        <w:left w:val="none" w:sz="0" w:space="0" w:color="auto"/>
        <w:bottom w:val="none" w:sz="0" w:space="0" w:color="auto"/>
        <w:right w:val="none" w:sz="0" w:space="0" w:color="auto"/>
      </w:divBdr>
    </w:div>
    <w:div w:id="18657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56C1-997A-47EB-B73D-C3316D67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 Quinn (IFPRI)</dc:creator>
  <cp:lastModifiedBy>Kristin Davis</cp:lastModifiedBy>
  <cp:revision>2</cp:revision>
  <dcterms:created xsi:type="dcterms:W3CDTF">2013-11-11T09:52:00Z</dcterms:created>
  <dcterms:modified xsi:type="dcterms:W3CDTF">2013-11-11T09:52:00Z</dcterms:modified>
</cp:coreProperties>
</file>