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53" w:rsidRPr="00AA0050" w:rsidRDefault="00673D53" w:rsidP="00673D53">
      <w:pPr>
        <w:shd w:val="clear" w:color="auto" w:fill="FFFFFF"/>
        <w:spacing w:before="0" w:after="100" w:line="312" w:lineRule="atLeast"/>
        <w:jc w:val="center"/>
        <w:rPr>
          <w:b/>
        </w:rPr>
      </w:pPr>
      <w:r w:rsidRPr="00AA0050">
        <w:rPr>
          <w:b/>
        </w:rPr>
        <w:t xml:space="preserve">Transforming Agricultural Extension System and Accelerating Agricultural Productivity Growth in the Democratic Republic of Congo </w:t>
      </w:r>
    </w:p>
    <w:p w:rsidR="00673D53" w:rsidRPr="00F679D8" w:rsidRDefault="00673D53" w:rsidP="00673D53">
      <w:pPr>
        <w:shd w:val="clear" w:color="auto" w:fill="FFFFFF"/>
        <w:spacing w:before="0" w:after="100" w:line="312" w:lineRule="atLeast"/>
        <w:jc w:val="center"/>
        <w:rPr>
          <w:rFonts w:ascii="Trebuchet MS" w:hAnsi="Trebuchet MS"/>
          <w:b/>
          <w:bCs/>
          <w:color w:val="365F91"/>
          <w:sz w:val="22"/>
          <w:szCs w:val="22"/>
        </w:rPr>
      </w:pPr>
      <w:r w:rsidRPr="00F679D8">
        <w:rPr>
          <w:rFonts w:ascii="Trebuchet MS" w:hAnsi="Trebuchet MS"/>
          <w:b/>
          <w:bCs/>
          <w:color w:val="365F91"/>
          <w:sz w:val="22"/>
          <w:szCs w:val="22"/>
        </w:rPr>
        <w:t>June 26-27, 2012, Kinshasa, Democratic Republic of Congo</w:t>
      </w:r>
    </w:p>
    <w:p w:rsidR="00673D53" w:rsidRPr="00F34C4B" w:rsidRDefault="00673D53" w:rsidP="00673D53">
      <w:pPr>
        <w:widowControl w:val="0"/>
        <w:autoSpaceDE w:val="0"/>
        <w:autoSpaceDN w:val="0"/>
        <w:adjustRightInd w:val="0"/>
        <w:rPr>
          <w:rFonts w:ascii="TimesNewRomanPSMT" w:hAnsi="TimesNewRomanPSMT"/>
          <w:b/>
          <w:color w:val="000000"/>
        </w:rPr>
      </w:pPr>
    </w:p>
    <w:p w:rsidR="00673D53" w:rsidRPr="00F34C4B" w:rsidRDefault="00673D53" w:rsidP="00673D53">
      <w:pPr>
        <w:widowControl w:val="0"/>
        <w:autoSpaceDE w:val="0"/>
        <w:autoSpaceDN w:val="0"/>
        <w:adjustRightInd w:val="0"/>
        <w:rPr>
          <w:rFonts w:ascii="TimesNewRomanPSMT" w:hAnsi="TimesNewRomanPSMT"/>
          <w:b/>
          <w:color w:val="000000"/>
        </w:rPr>
      </w:pPr>
    </w:p>
    <w:p w:rsidR="00673D53" w:rsidRPr="00F34C4B" w:rsidRDefault="00673D53" w:rsidP="00673D53">
      <w:pPr>
        <w:widowControl w:val="0"/>
        <w:autoSpaceDE w:val="0"/>
        <w:autoSpaceDN w:val="0"/>
        <w:adjustRightInd w:val="0"/>
        <w:rPr>
          <w:rFonts w:ascii="TimesNewRomanPSMT" w:hAnsi="TimesNewRomanPSMT"/>
          <w:b/>
          <w:color w:val="000000"/>
        </w:rPr>
      </w:pPr>
    </w:p>
    <w:p w:rsidR="00673D53" w:rsidRPr="00F34C4B" w:rsidRDefault="00673D53" w:rsidP="00673D53">
      <w:pPr>
        <w:widowControl w:val="0"/>
        <w:autoSpaceDE w:val="0"/>
        <w:autoSpaceDN w:val="0"/>
        <w:adjustRightInd w:val="0"/>
        <w:rPr>
          <w:rFonts w:ascii="TimesNewRomanPSMT" w:hAnsi="TimesNewRomanPSMT"/>
          <w:b/>
          <w:color w:val="000000"/>
        </w:rPr>
      </w:pPr>
    </w:p>
    <w:p w:rsidR="00673D53" w:rsidRPr="00F34C4B" w:rsidRDefault="00673D53" w:rsidP="00673D53">
      <w:pPr>
        <w:widowControl w:val="0"/>
        <w:autoSpaceDE w:val="0"/>
        <w:autoSpaceDN w:val="0"/>
        <w:adjustRightInd w:val="0"/>
        <w:rPr>
          <w:rFonts w:ascii="TimesNewRomanPSMT" w:hAnsi="TimesNewRomanPSMT"/>
          <w:b/>
          <w:color w:val="000000"/>
        </w:rPr>
      </w:pPr>
    </w:p>
    <w:p w:rsidR="00673D53" w:rsidRPr="00F34C4B" w:rsidRDefault="00673D53" w:rsidP="00673D53">
      <w:pPr>
        <w:widowControl w:val="0"/>
        <w:autoSpaceDE w:val="0"/>
        <w:autoSpaceDN w:val="0"/>
        <w:adjustRightInd w:val="0"/>
        <w:jc w:val="center"/>
        <w:rPr>
          <w:rFonts w:ascii="TimesNewRomanPSMT" w:hAnsi="TimesNewRomanPSMT"/>
          <w:b/>
        </w:rPr>
      </w:pPr>
      <w:r w:rsidRPr="00F34C4B">
        <w:rPr>
          <w:rFonts w:ascii="TimesNewRomanPSMT" w:hAnsi="TimesNewRomanPSMT"/>
          <w:b/>
        </w:rPr>
        <w:t>Organized by</w:t>
      </w:r>
      <w:r>
        <w:rPr>
          <w:rFonts w:ascii="TimesNewRomanPSMT" w:hAnsi="TimesNewRomanPSMT"/>
          <w:b/>
        </w:rPr>
        <w:t xml:space="preserve">  </w:t>
      </w:r>
    </w:p>
    <w:p w:rsidR="00673D53" w:rsidRPr="00F34C4B" w:rsidRDefault="00673D53" w:rsidP="00673D53">
      <w:pPr>
        <w:jc w:val="center"/>
      </w:pPr>
      <w:r w:rsidRPr="00F34C4B">
        <w:t>The Democratic Republic of Congo Ministry of Agriculture and Rural Development and the International Food Policy Research Institute (IFPRI)</w:t>
      </w:r>
    </w:p>
    <w:p w:rsidR="00673D53" w:rsidRPr="00F34C4B" w:rsidRDefault="00673D53" w:rsidP="00673D53">
      <w:pPr>
        <w:widowControl w:val="0"/>
        <w:autoSpaceDE w:val="0"/>
        <w:autoSpaceDN w:val="0"/>
        <w:adjustRightInd w:val="0"/>
        <w:jc w:val="center"/>
        <w:rPr>
          <w:rFonts w:ascii="TimesNewRomanPSMT" w:hAnsi="TimesNewRomanPSMT"/>
          <w:b/>
        </w:rPr>
      </w:pPr>
    </w:p>
    <w:p w:rsidR="00673D53" w:rsidRPr="00F34C4B" w:rsidRDefault="00673D53" w:rsidP="00673D53">
      <w:pPr>
        <w:widowControl w:val="0"/>
        <w:autoSpaceDE w:val="0"/>
        <w:autoSpaceDN w:val="0"/>
        <w:adjustRightInd w:val="0"/>
        <w:jc w:val="center"/>
        <w:rPr>
          <w:rFonts w:ascii="TimesNewRomanPSMT" w:hAnsi="TimesNewRomanPSMT"/>
          <w:b/>
        </w:rPr>
      </w:pPr>
    </w:p>
    <w:p w:rsidR="00673D53" w:rsidRPr="00F34C4B" w:rsidRDefault="00673D53" w:rsidP="00673D53">
      <w:pPr>
        <w:widowControl w:val="0"/>
        <w:autoSpaceDE w:val="0"/>
        <w:autoSpaceDN w:val="0"/>
        <w:adjustRightInd w:val="0"/>
        <w:jc w:val="center"/>
        <w:rPr>
          <w:rFonts w:ascii="TimesNewRomanPSMT" w:hAnsi="TimesNewRomanPSMT"/>
          <w:b/>
        </w:rPr>
      </w:pPr>
    </w:p>
    <w:p w:rsidR="00CB51FB" w:rsidRDefault="00673D53" w:rsidP="00673D53">
      <w:pPr>
        <w:widowControl w:val="0"/>
        <w:autoSpaceDE w:val="0"/>
        <w:autoSpaceDN w:val="0"/>
        <w:adjustRightInd w:val="0"/>
        <w:jc w:val="center"/>
        <w:rPr>
          <w:rFonts w:ascii="TimesNewRomanPSMT" w:hAnsi="TimesNewRomanPSMT"/>
          <w:b/>
        </w:rPr>
      </w:pPr>
      <w:r>
        <w:rPr>
          <w:rFonts w:ascii="TimesNewRomanPSMT" w:hAnsi="TimesNewRomanPSMT"/>
          <w:b/>
        </w:rPr>
        <w:t xml:space="preserve">Prepared by </w:t>
      </w:r>
    </w:p>
    <w:p w:rsidR="00673D53" w:rsidRPr="00F34C4B" w:rsidRDefault="00673D53" w:rsidP="00673D53">
      <w:pPr>
        <w:jc w:val="center"/>
      </w:pPr>
    </w:p>
    <w:p w:rsidR="00673D53" w:rsidRDefault="00C62659" w:rsidP="00673D53">
      <w:pPr>
        <w:jc w:val="center"/>
        <w:rPr>
          <w:b/>
        </w:rPr>
      </w:pPr>
      <w:r>
        <w:rPr>
          <w:b/>
        </w:rPr>
        <w:t>International Food Policy Research Institute</w:t>
      </w:r>
    </w:p>
    <w:p w:rsidR="00673D53" w:rsidRDefault="00673D53" w:rsidP="00673D53">
      <w:bookmarkStart w:id="0" w:name="_GoBack"/>
      <w:bookmarkEnd w:id="0"/>
    </w:p>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673D53" w:rsidRDefault="00673D53" w:rsidP="00673D53"/>
    <w:p w:rsidR="00C8554F" w:rsidRPr="005C1676" w:rsidRDefault="00C8554F" w:rsidP="007001EA">
      <w:pPr>
        <w:spacing w:before="0" w:after="0"/>
        <w:jc w:val="both"/>
      </w:pPr>
      <w:r w:rsidRPr="005C1676">
        <w:t xml:space="preserve">This note provides a summary of the current state of agricultural extension in the DRC and identifies important opportunities to address the many challenges agricultural extension in DRC </w:t>
      </w:r>
      <w:r w:rsidR="007001EA">
        <w:t xml:space="preserve">faces </w:t>
      </w:r>
      <w:r w:rsidRPr="005C1676">
        <w:t>in terms of institutional set-up, funding mechanism, capacity strengthening of extension service providers, and delivery method and tools.</w:t>
      </w:r>
    </w:p>
    <w:p w:rsidR="00C8554F" w:rsidRPr="00FD4886" w:rsidRDefault="00C8554F" w:rsidP="00673D53">
      <w:pPr>
        <w:spacing w:before="0" w:after="0"/>
        <w:rPr>
          <w:rFonts w:ascii="MyriadPro-Regular" w:hAnsi="MyriadPro-Regular" w:cs="MyriadPro-Regular"/>
          <w:sz w:val="18"/>
          <w:szCs w:val="20"/>
        </w:rPr>
      </w:pPr>
    </w:p>
    <w:p w:rsidR="00C8554F" w:rsidRPr="00673D53" w:rsidRDefault="00FD4886" w:rsidP="00673D53">
      <w:pPr>
        <w:spacing w:before="0"/>
        <w:rPr>
          <w:b/>
          <w:color w:val="365F91" w:themeColor="accent1" w:themeShade="BF"/>
          <w:u w:val="single"/>
        </w:rPr>
      </w:pPr>
      <w:r w:rsidRPr="00673D53">
        <w:rPr>
          <w:b/>
          <w:color w:val="365F91" w:themeColor="accent1" w:themeShade="BF"/>
          <w:u w:val="single"/>
        </w:rPr>
        <w:t>INSTITUTIONAL SET-UP</w:t>
      </w:r>
    </w:p>
    <w:p w:rsidR="00157687" w:rsidRPr="00673D53" w:rsidRDefault="00157687" w:rsidP="00673D53">
      <w:pPr>
        <w:spacing w:before="0"/>
        <w:rPr>
          <w:b/>
        </w:rPr>
      </w:pPr>
      <w:r w:rsidRPr="00673D53">
        <w:rPr>
          <w:b/>
        </w:rPr>
        <w:t>Current Situation and challenges</w:t>
      </w:r>
    </w:p>
    <w:p w:rsidR="00780067" w:rsidRDefault="00780067" w:rsidP="007001EA">
      <w:pPr>
        <w:spacing w:before="0" w:after="0"/>
        <w:jc w:val="both"/>
      </w:pPr>
      <w:r w:rsidRPr="00254A50">
        <w:t xml:space="preserve">The legal framework </w:t>
      </w:r>
      <w:r w:rsidR="009778DA">
        <w:t>as de</w:t>
      </w:r>
      <w:r w:rsidR="002674F5">
        <w:t xml:space="preserve">scribed </w:t>
      </w:r>
      <w:r w:rsidR="009778DA">
        <w:t xml:space="preserve">in the </w:t>
      </w:r>
      <w:r w:rsidR="009778DA">
        <w:rPr>
          <w:lang w:bidi="en-US"/>
        </w:rPr>
        <w:t xml:space="preserve">decrees </w:t>
      </w:r>
      <w:r w:rsidR="002674F5">
        <w:rPr>
          <w:lang w:bidi="en-US"/>
        </w:rPr>
        <w:t xml:space="preserve">of </w:t>
      </w:r>
      <w:r w:rsidR="00157687">
        <w:rPr>
          <w:lang w:bidi="en-US"/>
        </w:rPr>
        <w:t>198</w:t>
      </w:r>
      <w:r w:rsidR="00E43DC9">
        <w:rPr>
          <w:lang w:bidi="en-US"/>
        </w:rPr>
        <w:t xml:space="preserve">9 and </w:t>
      </w:r>
      <w:r w:rsidR="00C257F8">
        <w:rPr>
          <w:lang w:bidi="en-US"/>
        </w:rPr>
        <w:t>1993 grants</w:t>
      </w:r>
      <w:r w:rsidRPr="00254A50">
        <w:t xml:space="preserve"> the DRC government </w:t>
      </w:r>
      <w:r w:rsidR="00C201EB">
        <w:t xml:space="preserve">through </w:t>
      </w:r>
      <w:r w:rsidR="00C201EB" w:rsidRPr="00254A50">
        <w:t xml:space="preserve">the National Extension Service (SNV) </w:t>
      </w:r>
      <w:r w:rsidR="00C201EB">
        <w:rPr>
          <w:rFonts w:ascii="Times" w:hAnsi="Times"/>
        </w:rPr>
        <w:t>the responsibility to ensure</w:t>
      </w:r>
      <w:r w:rsidR="00C201EB" w:rsidRPr="00254A50">
        <w:t xml:space="preserve"> </w:t>
      </w:r>
      <w:r w:rsidRPr="00254A50">
        <w:t>the coordination of extension activities in DRC</w:t>
      </w:r>
      <w:r w:rsidR="00C201EB">
        <w:t xml:space="preserve">. </w:t>
      </w:r>
      <w:r w:rsidR="00BA0FC8">
        <w:rPr>
          <w:rFonts w:ascii="Times" w:hAnsi="Times"/>
        </w:rPr>
        <w:t>Unfortunately,</w:t>
      </w:r>
      <w:r w:rsidR="00BA0FC8" w:rsidRPr="00E76ECC">
        <w:rPr>
          <w:rFonts w:ascii="Times" w:hAnsi="Times"/>
        </w:rPr>
        <w:t xml:space="preserve"> </w:t>
      </w:r>
      <w:r w:rsidR="00BA0FC8">
        <w:rPr>
          <w:rFonts w:ascii="Times" w:hAnsi="Times"/>
        </w:rPr>
        <w:t>extension activities within the SNV</w:t>
      </w:r>
      <w:r w:rsidRPr="00254A50">
        <w:t xml:space="preserve"> ceased operating since 1997 due to donors’ fund </w:t>
      </w:r>
      <w:r w:rsidR="007B1BC4">
        <w:t xml:space="preserve">constraints </w:t>
      </w:r>
      <w:r w:rsidRPr="00254A50">
        <w:t xml:space="preserve">and the lack of funding support from government. </w:t>
      </w:r>
    </w:p>
    <w:p w:rsidR="00673D53" w:rsidRPr="00254A50" w:rsidRDefault="00673D53" w:rsidP="007001EA">
      <w:pPr>
        <w:spacing w:before="0" w:after="0"/>
        <w:jc w:val="both"/>
      </w:pPr>
    </w:p>
    <w:p w:rsidR="009778DA" w:rsidRDefault="00DB1CC6" w:rsidP="007001EA">
      <w:pPr>
        <w:spacing w:before="0" w:after="0"/>
        <w:jc w:val="both"/>
        <w:rPr>
          <w:lang w:bidi="en-US"/>
        </w:rPr>
      </w:pPr>
      <w:r>
        <w:t>T</w:t>
      </w:r>
      <w:r w:rsidR="009778DA" w:rsidRPr="00254A50">
        <w:t xml:space="preserve">he government has maintained some level of </w:t>
      </w:r>
      <w:r w:rsidR="009778DA">
        <w:t xml:space="preserve"> extension </w:t>
      </w:r>
      <w:r w:rsidR="009778DA" w:rsidRPr="00254A50">
        <w:t xml:space="preserve">intervention through </w:t>
      </w:r>
      <w:r w:rsidR="009778DA">
        <w:t xml:space="preserve">(1) </w:t>
      </w:r>
      <w:r w:rsidR="009778DA" w:rsidRPr="00254A50">
        <w:t xml:space="preserve">the decentralized services of the Ministry of Agriculture and Rural Development and </w:t>
      </w:r>
      <w:r w:rsidR="009778DA">
        <w:t xml:space="preserve">(2) </w:t>
      </w:r>
      <w:r w:rsidR="009778DA" w:rsidRPr="00254A50">
        <w:t>its technical support agencies including the National Institute of Agronomic Research (INERA), the National Service of Seeds (SENASEM), the National Service of Agricultural Mechanization (SENAMA), the National Service of Fertilizer</w:t>
      </w:r>
      <w:r>
        <w:t>s and Related Inputs (SENAFIC). However, l</w:t>
      </w:r>
      <w:r w:rsidR="009778DA" w:rsidRPr="00007A10">
        <w:rPr>
          <w:lang w:bidi="en-US"/>
        </w:rPr>
        <w:t xml:space="preserve">ack of vision and orientation, unclear mandates of </w:t>
      </w:r>
      <w:r w:rsidR="009778DA">
        <w:rPr>
          <w:lang w:bidi="en-US"/>
        </w:rPr>
        <w:t xml:space="preserve">the </w:t>
      </w:r>
      <w:r w:rsidR="009778DA" w:rsidRPr="00007A10">
        <w:rPr>
          <w:lang w:bidi="en-US"/>
        </w:rPr>
        <w:t>extension</w:t>
      </w:r>
      <w:r w:rsidR="009778DA">
        <w:rPr>
          <w:lang w:bidi="en-US"/>
        </w:rPr>
        <w:t xml:space="preserve"> services</w:t>
      </w:r>
      <w:r w:rsidR="009778DA" w:rsidRPr="00007A10">
        <w:rPr>
          <w:lang w:bidi="en-US"/>
        </w:rPr>
        <w:t xml:space="preserve"> led to </w:t>
      </w:r>
      <w:r w:rsidR="009778DA" w:rsidRPr="007B7452">
        <w:rPr>
          <w:lang w:bidi="en-US"/>
        </w:rPr>
        <w:t>d</w:t>
      </w:r>
      <w:r w:rsidR="009778DA" w:rsidRPr="00007A10">
        <w:rPr>
          <w:lang w:bidi="en-US"/>
        </w:rPr>
        <w:t>rastic underfunding of</w:t>
      </w:r>
      <w:r w:rsidR="009778DA">
        <w:rPr>
          <w:lang w:bidi="en-US"/>
        </w:rPr>
        <w:t xml:space="preserve"> </w:t>
      </w:r>
      <w:r w:rsidR="009778DA" w:rsidRPr="00007A10">
        <w:rPr>
          <w:lang w:bidi="en-US"/>
        </w:rPr>
        <w:t xml:space="preserve">the </w:t>
      </w:r>
      <w:r w:rsidR="009778DA">
        <w:rPr>
          <w:lang w:bidi="en-US"/>
        </w:rPr>
        <w:t>public extension</w:t>
      </w:r>
      <w:r w:rsidR="009778DA">
        <w:t xml:space="preserve"> </w:t>
      </w:r>
      <w:r w:rsidR="009778DA" w:rsidRPr="009F05A8">
        <w:t>service provision</w:t>
      </w:r>
      <w:r w:rsidR="009778DA">
        <w:t xml:space="preserve"> </w:t>
      </w:r>
      <w:r w:rsidR="009778DA" w:rsidRPr="00007A10">
        <w:rPr>
          <w:lang w:bidi="en-US"/>
        </w:rPr>
        <w:t>causing severe human and physical resource</w:t>
      </w:r>
      <w:r w:rsidR="009778DA">
        <w:rPr>
          <w:lang w:bidi="en-US"/>
        </w:rPr>
        <w:t>s</w:t>
      </w:r>
      <w:r w:rsidR="009778DA" w:rsidRPr="00007A10">
        <w:rPr>
          <w:lang w:bidi="en-US"/>
        </w:rPr>
        <w:t xml:space="preserve"> management problems. </w:t>
      </w:r>
    </w:p>
    <w:p w:rsidR="009778DA" w:rsidRPr="00E92C9A" w:rsidRDefault="009778DA" w:rsidP="007001EA">
      <w:pPr>
        <w:spacing w:before="0" w:after="0"/>
        <w:jc w:val="both"/>
        <w:rPr>
          <w:rFonts w:ascii="MyriadPro-Regular" w:hAnsi="MyriadPro-Regular" w:cs="MyriadPro-Regular"/>
          <w:sz w:val="20"/>
          <w:szCs w:val="20"/>
        </w:rPr>
      </w:pPr>
    </w:p>
    <w:p w:rsidR="009778DA" w:rsidRDefault="009778DA" w:rsidP="007001EA">
      <w:pPr>
        <w:autoSpaceDE w:val="0"/>
        <w:autoSpaceDN w:val="0"/>
        <w:adjustRightInd w:val="0"/>
        <w:spacing w:before="0" w:after="0"/>
        <w:jc w:val="both"/>
        <w:rPr>
          <w:lang w:bidi="en-US"/>
        </w:rPr>
      </w:pPr>
      <w:r w:rsidRPr="00F42D0A">
        <w:rPr>
          <w:lang w:bidi="en-US"/>
        </w:rPr>
        <w:t xml:space="preserve">Much of extension priorities have been devolved to private sectors, </w:t>
      </w:r>
      <w:r w:rsidRPr="00916CDC">
        <w:rPr>
          <w:lang w:bidi="en-US"/>
        </w:rPr>
        <w:t>NGOs</w:t>
      </w:r>
      <w:r>
        <w:rPr>
          <w:lang w:bidi="en-US"/>
        </w:rPr>
        <w:t>, church-based organizations</w:t>
      </w:r>
      <w:r w:rsidRPr="00916CDC">
        <w:rPr>
          <w:lang w:bidi="en-US"/>
        </w:rPr>
        <w:t xml:space="preserve"> or producer organizations </w:t>
      </w:r>
      <w:r>
        <w:rPr>
          <w:lang w:bidi="en-US"/>
        </w:rPr>
        <w:t xml:space="preserve">that have been trying to fill the gaps mostly from ad-hoc and donor-funded projects. </w:t>
      </w:r>
      <w:r w:rsidR="00DB1CC6">
        <w:rPr>
          <w:lang w:bidi="en-US"/>
        </w:rPr>
        <w:t xml:space="preserve">Thus, </w:t>
      </w:r>
      <w:r w:rsidR="005C1676">
        <w:rPr>
          <w:lang w:bidi="en-US"/>
        </w:rPr>
        <w:t>d</w:t>
      </w:r>
      <w:r w:rsidR="005C1676" w:rsidRPr="00F42D0A">
        <w:rPr>
          <w:lang w:bidi="en-US"/>
        </w:rPr>
        <w:t>ecision-making</w:t>
      </w:r>
      <w:r w:rsidRPr="00F42D0A">
        <w:rPr>
          <w:lang w:bidi="en-US"/>
        </w:rPr>
        <w:t xml:space="preserve"> about extension agenda </w:t>
      </w:r>
      <w:r w:rsidR="00DB1CC6">
        <w:rPr>
          <w:lang w:bidi="en-US"/>
        </w:rPr>
        <w:t xml:space="preserve">was </w:t>
      </w:r>
      <w:r w:rsidR="00D1245A">
        <w:rPr>
          <w:lang w:bidi="en-US"/>
        </w:rPr>
        <w:t>distorted</w:t>
      </w:r>
      <w:r w:rsidR="00DB1CC6">
        <w:rPr>
          <w:lang w:bidi="en-US"/>
        </w:rPr>
        <w:t xml:space="preserve"> </w:t>
      </w:r>
      <w:r w:rsidRPr="00F42D0A">
        <w:rPr>
          <w:lang w:bidi="en-US"/>
        </w:rPr>
        <w:t xml:space="preserve">toward short-term goals </w:t>
      </w:r>
      <w:r w:rsidR="00D1245A">
        <w:rPr>
          <w:lang w:bidi="en-US"/>
        </w:rPr>
        <w:t xml:space="preserve">of the projects </w:t>
      </w:r>
      <w:r w:rsidRPr="00F42D0A">
        <w:rPr>
          <w:lang w:bidi="en-US"/>
        </w:rPr>
        <w:t>that are often out of alignment with national and regional priorities.</w:t>
      </w:r>
    </w:p>
    <w:p w:rsidR="00E02566" w:rsidRPr="00673D53" w:rsidRDefault="00E02566" w:rsidP="00673D53">
      <w:pPr>
        <w:spacing w:before="0" w:after="0"/>
        <w:rPr>
          <w:b/>
        </w:rPr>
      </w:pPr>
    </w:p>
    <w:p w:rsidR="00157687" w:rsidRPr="00673D53" w:rsidRDefault="00157687" w:rsidP="00673D53">
      <w:pPr>
        <w:spacing w:before="0"/>
        <w:rPr>
          <w:b/>
        </w:rPr>
      </w:pPr>
      <w:r w:rsidRPr="00673D53">
        <w:rPr>
          <w:b/>
        </w:rPr>
        <w:t>R</w:t>
      </w:r>
      <w:r w:rsidR="00673D53" w:rsidRPr="00673D53">
        <w:rPr>
          <w:b/>
        </w:rPr>
        <w:t>ecommendations</w:t>
      </w:r>
    </w:p>
    <w:p w:rsidR="00F84ADA" w:rsidRPr="00273A9E" w:rsidRDefault="001C4EDE" w:rsidP="007001EA">
      <w:pPr>
        <w:spacing w:before="0" w:after="0"/>
        <w:jc w:val="both"/>
        <w:rPr>
          <w:lang w:bidi="en-US"/>
        </w:rPr>
      </w:pPr>
      <w:r w:rsidRPr="001C4EDE">
        <w:rPr>
          <w:lang w:bidi="en-US"/>
        </w:rPr>
        <w:t>Reforms</w:t>
      </w:r>
      <w:r w:rsidR="00E02566" w:rsidRPr="001C4EDE">
        <w:rPr>
          <w:lang w:bidi="en-US"/>
        </w:rPr>
        <w:t xml:space="preserve"> of the institutional and legal framework </w:t>
      </w:r>
      <w:r w:rsidR="00F84ADA" w:rsidRPr="00BC2485">
        <w:t>with the objective of making extension service delivery more effective and efficient</w:t>
      </w:r>
      <w:r w:rsidR="00F84ADA">
        <w:t xml:space="preserve"> </w:t>
      </w:r>
      <w:r>
        <w:rPr>
          <w:lang w:bidi="en-US"/>
        </w:rPr>
        <w:t>are crucial</w:t>
      </w:r>
      <w:r w:rsidRPr="001C4EDE">
        <w:rPr>
          <w:lang w:bidi="en-US"/>
        </w:rPr>
        <w:t xml:space="preserve">. </w:t>
      </w:r>
      <w:r w:rsidR="00F84ADA">
        <w:rPr>
          <w:lang w:bidi="en-US"/>
        </w:rPr>
        <w:t xml:space="preserve">The reforms should </w:t>
      </w:r>
      <w:r w:rsidR="00F84ADA" w:rsidRPr="00BC2485">
        <w:rPr>
          <w:lang w:eastAsia="fr-FR"/>
        </w:rPr>
        <w:t>focus on promotion of demand driven extension service</w:t>
      </w:r>
      <w:r w:rsidR="00F84ADA" w:rsidRPr="001C4EDE">
        <w:rPr>
          <w:lang w:bidi="en-US"/>
        </w:rPr>
        <w:t xml:space="preserve"> </w:t>
      </w:r>
      <w:r w:rsidR="00F84ADA">
        <w:rPr>
          <w:lang w:bidi="en-US"/>
        </w:rPr>
        <w:t xml:space="preserve">and </w:t>
      </w:r>
      <w:r w:rsidR="00F84ADA" w:rsidRPr="001C4EDE">
        <w:rPr>
          <w:lang w:bidi="en-US"/>
        </w:rPr>
        <w:t>be intended to promote and reinforce the public-private partnership already present in the agricult</w:t>
      </w:r>
      <w:r w:rsidR="004E45DA">
        <w:rPr>
          <w:lang w:bidi="en-US"/>
        </w:rPr>
        <w:t xml:space="preserve">ural extension service delivery in the DRC. </w:t>
      </w:r>
      <w:r w:rsidR="00F84ADA" w:rsidRPr="001C4EDE">
        <w:rPr>
          <w:lang w:bidi="en-US"/>
        </w:rPr>
        <w:t xml:space="preserve"> This partnership will have on one side the government and its agencies</w:t>
      </w:r>
      <w:r w:rsidR="00F84ADA">
        <w:rPr>
          <w:lang w:bidi="en-US"/>
        </w:rPr>
        <w:t xml:space="preserve"> that </w:t>
      </w:r>
      <w:r w:rsidR="00F84ADA" w:rsidRPr="00D1245A">
        <w:rPr>
          <w:lang w:bidi="en-US"/>
        </w:rPr>
        <w:t>will be in charge of policy orientations an</w:t>
      </w:r>
      <w:r w:rsidR="00BB6DFF">
        <w:rPr>
          <w:lang w:bidi="en-US"/>
        </w:rPr>
        <w:t xml:space="preserve">d planning, decisions about funding modalities and </w:t>
      </w:r>
      <w:r w:rsidR="00F84ADA" w:rsidRPr="00D1245A">
        <w:rPr>
          <w:lang w:bidi="en-US"/>
        </w:rPr>
        <w:t xml:space="preserve">allocation, </w:t>
      </w:r>
      <w:r w:rsidR="00F84ADA">
        <w:rPr>
          <w:lang w:bidi="en-US"/>
        </w:rPr>
        <w:t xml:space="preserve">regulation, and </w:t>
      </w:r>
      <w:r w:rsidR="00F84ADA" w:rsidRPr="00D1245A">
        <w:rPr>
          <w:lang w:bidi="en-US"/>
        </w:rPr>
        <w:t>monitoring and evaluation</w:t>
      </w:r>
      <w:r w:rsidR="00F84ADA">
        <w:rPr>
          <w:lang w:bidi="en-US"/>
        </w:rPr>
        <w:t>. O</w:t>
      </w:r>
      <w:r w:rsidR="00F84ADA" w:rsidRPr="001C4EDE">
        <w:rPr>
          <w:lang w:bidi="en-US"/>
        </w:rPr>
        <w:t>n the other side the organizations of farmers’ supervision (peasant organizations, church-based organizations, NGO, local development committees, private sector, and others)</w:t>
      </w:r>
      <w:r w:rsidR="00F84ADA">
        <w:rPr>
          <w:lang w:bidi="en-US"/>
        </w:rPr>
        <w:t xml:space="preserve"> will be responsible for the policy implementation</w:t>
      </w:r>
      <w:r w:rsidR="00F84ADA" w:rsidRPr="001C4EDE">
        <w:rPr>
          <w:lang w:bidi="en-US"/>
        </w:rPr>
        <w:t>. The partnership will also include the CARG in bet</w:t>
      </w:r>
      <w:r w:rsidR="00F84ADA">
        <w:rPr>
          <w:lang w:bidi="en-US"/>
        </w:rPr>
        <w:t>ween the two groups of partners; t</w:t>
      </w:r>
      <w:r w:rsidR="00F84ADA" w:rsidRPr="00273A9E">
        <w:rPr>
          <w:lang w:bidi="en-US"/>
        </w:rPr>
        <w:t xml:space="preserve">he CARG will </w:t>
      </w:r>
      <w:r w:rsidR="00F84ADA">
        <w:rPr>
          <w:lang w:bidi="en-US"/>
        </w:rPr>
        <w:t xml:space="preserve">play its intended role as platform for the </w:t>
      </w:r>
      <w:r w:rsidR="00F84ADA" w:rsidRPr="00273A9E">
        <w:rPr>
          <w:lang w:bidi="en-US"/>
        </w:rPr>
        <w:t xml:space="preserve">consultations </w:t>
      </w:r>
      <w:r w:rsidR="00F84ADA">
        <w:rPr>
          <w:lang w:bidi="en-US"/>
        </w:rPr>
        <w:t>on</w:t>
      </w:r>
      <w:r w:rsidR="00F84ADA" w:rsidRPr="00273A9E">
        <w:rPr>
          <w:lang w:bidi="en-US"/>
        </w:rPr>
        <w:t xml:space="preserve"> policy designs and implementation, and </w:t>
      </w:r>
      <w:r w:rsidR="00F84ADA">
        <w:rPr>
          <w:lang w:bidi="en-US"/>
        </w:rPr>
        <w:t>on</w:t>
      </w:r>
      <w:r w:rsidR="00F84ADA" w:rsidRPr="00273A9E">
        <w:rPr>
          <w:lang w:bidi="en-US"/>
        </w:rPr>
        <w:t xml:space="preserve"> monitoring and evaluation. </w:t>
      </w:r>
    </w:p>
    <w:p w:rsidR="00F84ADA" w:rsidRDefault="00F84ADA" w:rsidP="007001EA">
      <w:pPr>
        <w:spacing w:before="0" w:after="0"/>
        <w:jc w:val="both"/>
        <w:rPr>
          <w:lang w:bidi="en-US"/>
        </w:rPr>
      </w:pPr>
    </w:p>
    <w:p w:rsidR="0030692B" w:rsidRPr="0030692B" w:rsidRDefault="00273A9E" w:rsidP="0030692B">
      <w:pPr>
        <w:rPr>
          <w:color w:val="000000"/>
        </w:rPr>
      </w:pPr>
      <w:r w:rsidRPr="00714323">
        <w:rPr>
          <w:lang w:bidi="en-US"/>
        </w:rPr>
        <w:t xml:space="preserve">The institutional reform </w:t>
      </w:r>
      <w:r w:rsidR="0041185F" w:rsidRPr="00714323">
        <w:rPr>
          <w:lang w:bidi="en-US"/>
        </w:rPr>
        <w:t xml:space="preserve">should be based on </w:t>
      </w:r>
      <w:r w:rsidR="00714323" w:rsidRPr="00714323">
        <w:rPr>
          <w:lang w:bidi="en-US"/>
        </w:rPr>
        <w:t xml:space="preserve">enhanced </w:t>
      </w:r>
      <w:r w:rsidR="0041185F" w:rsidRPr="00714323">
        <w:rPr>
          <w:lang w:bidi="en-US"/>
        </w:rPr>
        <w:t>a</w:t>
      </w:r>
      <w:r w:rsidRPr="00714323">
        <w:rPr>
          <w:lang w:bidi="en-US"/>
        </w:rPr>
        <w:t xml:space="preserve">ssessment of extension </w:t>
      </w:r>
      <w:r w:rsidR="0041185F" w:rsidRPr="00714323">
        <w:rPr>
          <w:lang w:bidi="en-US"/>
        </w:rPr>
        <w:t xml:space="preserve">through </w:t>
      </w:r>
      <w:r w:rsidR="00157687">
        <w:rPr>
          <w:lang w:bidi="en-US"/>
        </w:rPr>
        <w:t xml:space="preserve">an </w:t>
      </w:r>
      <w:r w:rsidR="0041185F" w:rsidRPr="00714323">
        <w:rPr>
          <w:lang w:bidi="en-US"/>
        </w:rPr>
        <w:t>organization</w:t>
      </w:r>
      <w:r w:rsidRPr="00714323">
        <w:rPr>
          <w:lang w:bidi="en-US"/>
        </w:rPr>
        <w:t xml:space="preserve"> of decentralized fora </w:t>
      </w:r>
      <w:r w:rsidR="00BB6DFF" w:rsidRPr="0030692B">
        <w:rPr>
          <w:lang w:val="en-GB" w:eastAsia="fr-FR"/>
        </w:rPr>
        <w:t>involving consultation with stakeholders in public, private and the civil society</w:t>
      </w:r>
      <w:r w:rsidR="004E45DA" w:rsidRPr="0030692B">
        <w:rPr>
          <w:lang w:val="en-GB" w:eastAsia="fr-FR"/>
        </w:rPr>
        <w:t xml:space="preserve"> </w:t>
      </w:r>
      <w:r w:rsidRPr="00714323">
        <w:rPr>
          <w:lang w:bidi="en-US"/>
        </w:rPr>
        <w:t>in the extension system</w:t>
      </w:r>
      <w:r w:rsidR="00714323" w:rsidRPr="00714323">
        <w:rPr>
          <w:lang w:bidi="en-US"/>
        </w:rPr>
        <w:t xml:space="preserve"> at subnational levels</w:t>
      </w:r>
      <w:r w:rsidR="00714323" w:rsidRPr="00157687">
        <w:rPr>
          <w:lang w:bidi="en-US"/>
        </w:rPr>
        <w:t>.</w:t>
      </w:r>
      <w:r w:rsidR="00157687" w:rsidRPr="00157687">
        <w:rPr>
          <w:lang w:bidi="en-US"/>
        </w:rPr>
        <w:t xml:space="preserve"> This will allow reinstating a new vision based on public-private partnership in the context of decentralization</w:t>
      </w:r>
      <w:r w:rsidR="00157687">
        <w:rPr>
          <w:lang w:bidi="en-US"/>
        </w:rPr>
        <w:t>,</w:t>
      </w:r>
      <w:r w:rsidR="00157687" w:rsidRPr="00157687">
        <w:rPr>
          <w:lang w:bidi="en-US"/>
        </w:rPr>
        <w:t xml:space="preserve"> which in turn will stimulate various relating extension strategies. </w:t>
      </w:r>
      <w:r w:rsidR="0030692B">
        <w:rPr>
          <w:lang w:bidi="en-US"/>
        </w:rPr>
        <w:t xml:space="preserve">In addition, </w:t>
      </w:r>
      <w:r w:rsidR="0030692B" w:rsidRPr="0030692B">
        <w:rPr>
          <w:lang w:bidi="en-US"/>
        </w:rPr>
        <w:t>monitoring and evaluation (M&amp;E) system and measurable targets are needed to effectively track the progress of extension reform over time</w:t>
      </w:r>
      <w:r w:rsidR="0030692B">
        <w:rPr>
          <w:lang w:bidi="en-US"/>
        </w:rPr>
        <w:t>.</w:t>
      </w:r>
    </w:p>
    <w:p w:rsidR="0030692B" w:rsidRDefault="0030692B" w:rsidP="007001EA">
      <w:pPr>
        <w:autoSpaceDE w:val="0"/>
        <w:autoSpaceDN w:val="0"/>
        <w:adjustRightInd w:val="0"/>
        <w:spacing w:before="0" w:after="0"/>
        <w:jc w:val="both"/>
        <w:rPr>
          <w:color w:val="1F497D"/>
        </w:rPr>
      </w:pPr>
    </w:p>
    <w:p w:rsidR="00E92C9A" w:rsidRDefault="0030692B" w:rsidP="007001EA">
      <w:pPr>
        <w:autoSpaceDE w:val="0"/>
        <w:autoSpaceDN w:val="0"/>
        <w:adjustRightInd w:val="0"/>
        <w:spacing w:before="0" w:after="0"/>
        <w:jc w:val="both"/>
        <w:rPr>
          <w:lang w:bidi="en-US"/>
        </w:rPr>
      </w:pPr>
      <w:r w:rsidRPr="00815414">
        <w:rPr>
          <w:lang w:bidi="en-US"/>
        </w:rPr>
        <w:lastRenderedPageBreak/>
        <w:t>Extension should be viewed in an integrated and holistic approach, and therefore extension reform should be done with complementary investments and policy reforms in the research and seed system and strengthening of the input and output markets.</w:t>
      </w:r>
    </w:p>
    <w:p w:rsidR="00BB6DFF" w:rsidRDefault="00BB6DFF" w:rsidP="007001EA">
      <w:pPr>
        <w:autoSpaceDE w:val="0"/>
        <w:autoSpaceDN w:val="0"/>
        <w:adjustRightInd w:val="0"/>
        <w:spacing w:before="0" w:after="0"/>
        <w:jc w:val="both"/>
        <w:rPr>
          <w:lang w:val="en-GB" w:eastAsia="fr-FR"/>
        </w:rPr>
      </w:pPr>
    </w:p>
    <w:p w:rsidR="00F84ADA" w:rsidRDefault="00BB6DFF" w:rsidP="007001EA">
      <w:pPr>
        <w:spacing w:before="0" w:after="0"/>
        <w:jc w:val="both"/>
        <w:rPr>
          <w:lang w:bidi="en-US"/>
        </w:rPr>
      </w:pPr>
      <w:r w:rsidRPr="00714323">
        <w:rPr>
          <w:lang w:bidi="en-US"/>
        </w:rPr>
        <w:t>The institutional reform</w:t>
      </w:r>
      <w:r>
        <w:rPr>
          <w:lang w:bidi="en-US"/>
        </w:rPr>
        <w:t xml:space="preserve">s should </w:t>
      </w:r>
      <w:r w:rsidRPr="00BC2485">
        <w:rPr>
          <w:lang w:val="en-GB" w:eastAsia="fr-FR"/>
        </w:rPr>
        <w:t xml:space="preserve">also emphasize the need for the policy to make it more encompassing in terms of ownership by all </w:t>
      </w:r>
      <w:r>
        <w:rPr>
          <w:lang w:val="en-GB" w:eastAsia="fr-FR"/>
        </w:rPr>
        <w:t xml:space="preserve">key actors. </w:t>
      </w:r>
    </w:p>
    <w:p w:rsidR="00F84ADA" w:rsidRPr="00157687" w:rsidRDefault="00F84ADA" w:rsidP="00673D53">
      <w:pPr>
        <w:autoSpaceDE w:val="0"/>
        <w:autoSpaceDN w:val="0"/>
        <w:adjustRightInd w:val="0"/>
        <w:spacing w:before="0" w:after="0"/>
        <w:rPr>
          <w:lang w:bidi="en-US"/>
        </w:rPr>
      </w:pPr>
    </w:p>
    <w:p w:rsidR="000F60D6" w:rsidRPr="00FD4886" w:rsidRDefault="006B6E73" w:rsidP="00673D53">
      <w:pPr>
        <w:spacing w:before="0"/>
        <w:rPr>
          <w:b/>
          <w:u w:val="single"/>
        </w:rPr>
      </w:pPr>
      <w:r w:rsidRPr="00673D53">
        <w:rPr>
          <w:b/>
          <w:color w:val="365F91" w:themeColor="accent1" w:themeShade="BF"/>
          <w:u w:val="single"/>
        </w:rPr>
        <w:t>FUNDING MECHANISM</w:t>
      </w:r>
    </w:p>
    <w:p w:rsidR="00A37EBE" w:rsidRDefault="00A37EBE" w:rsidP="00673D53">
      <w:pPr>
        <w:spacing w:before="0"/>
        <w:rPr>
          <w:b/>
        </w:rPr>
      </w:pPr>
      <w:r w:rsidRPr="00673D53">
        <w:rPr>
          <w:b/>
        </w:rPr>
        <w:t>Current Situation</w:t>
      </w:r>
      <w:r w:rsidR="00B54329" w:rsidRPr="00673D53">
        <w:rPr>
          <w:b/>
        </w:rPr>
        <w:t xml:space="preserve"> and challenges</w:t>
      </w:r>
    </w:p>
    <w:p w:rsidR="00FD2E2B" w:rsidRDefault="00157687" w:rsidP="007001EA">
      <w:pPr>
        <w:spacing w:before="0" w:after="0"/>
        <w:jc w:val="both"/>
      </w:pPr>
      <w:r>
        <w:t>As previously mentioned, d</w:t>
      </w:r>
      <w:r w:rsidR="00D441C7">
        <w:t>ue to drastic underfunding from government budgets (less than 2% over the past decades), extension service provided by the</w:t>
      </w:r>
      <w:r w:rsidR="00FD2E2B" w:rsidRPr="00FD2E2B">
        <w:t xml:space="preserve"> public sector </w:t>
      </w:r>
      <w:r w:rsidR="00D441C7">
        <w:t>has notably suffered from lack of human and physical resources</w:t>
      </w:r>
      <w:r w:rsidR="00C257F8">
        <w:t xml:space="preserve"> which </w:t>
      </w:r>
      <w:r w:rsidR="00297EE3">
        <w:t xml:space="preserve">in turn </w:t>
      </w:r>
      <w:r w:rsidR="00B90A8F">
        <w:t xml:space="preserve">affects the performance of extension personnel. </w:t>
      </w:r>
    </w:p>
    <w:p w:rsidR="001F0269" w:rsidRDefault="00157687" w:rsidP="007001EA">
      <w:pPr>
        <w:autoSpaceDE w:val="0"/>
        <w:autoSpaceDN w:val="0"/>
        <w:adjustRightInd w:val="0"/>
        <w:spacing w:before="0" w:after="0"/>
        <w:jc w:val="both"/>
      </w:pPr>
      <w:r>
        <w:t>A</w:t>
      </w:r>
      <w:r w:rsidR="004A7268">
        <w:t xml:space="preserve"> </w:t>
      </w:r>
      <w:r w:rsidR="003651DE" w:rsidRPr="003651DE">
        <w:t xml:space="preserve">high proportion of the extension activities have been donor-funded through </w:t>
      </w:r>
      <w:r w:rsidR="00C3459B">
        <w:t xml:space="preserve">short-term projects </w:t>
      </w:r>
      <w:r w:rsidR="003651DE">
        <w:t xml:space="preserve">which </w:t>
      </w:r>
      <w:r w:rsidR="00B54329">
        <w:t>raises questions about sustainability of the interventions</w:t>
      </w:r>
      <w:r w:rsidR="003651DE">
        <w:t xml:space="preserve"> once funding ends. </w:t>
      </w:r>
      <w:r w:rsidR="00D441C7">
        <w:t xml:space="preserve">Moreover, the lack of coordination of extension activities has been found causing overlap or incoherence of interventions. </w:t>
      </w:r>
    </w:p>
    <w:p w:rsidR="00D441C7" w:rsidRDefault="00D441C7" w:rsidP="007001EA">
      <w:pPr>
        <w:autoSpaceDE w:val="0"/>
        <w:autoSpaceDN w:val="0"/>
        <w:adjustRightInd w:val="0"/>
        <w:spacing w:before="0" w:after="0"/>
        <w:jc w:val="both"/>
      </w:pPr>
      <w:r>
        <w:t xml:space="preserve"> </w:t>
      </w:r>
    </w:p>
    <w:p w:rsidR="006B6E73" w:rsidRDefault="00157687" w:rsidP="007001EA">
      <w:pPr>
        <w:autoSpaceDE w:val="0"/>
        <w:autoSpaceDN w:val="0"/>
        <w:adjustRightInd w:val="0"/>
        <w:spacing w:before="0" w:after="0"/>
        <w:jc w:val="both"/>
      </w:pPr>
      <w:r>
        <w:t xml:space="preserve">While </w:t>
      </w:r>
      <w:r w:rsidR="006B6E73" w:rsidRPr="006B6E73">
        <w:t xml:space="preserve">small-scale farmers grouped in peasant organizations (FBO) </w:t>
      </w:r>
      <w:r w:rsidR="006B6E73">
        <w:t>have been developed to facilitate farmers’ access to extension service</w:t>
      </w:r>
      <w:r>
        <w:t xml:space="preserve">, </w:t>
      </w:r>
      <w:r w:rsidR="006B6E73">
        <w:t>the weak financial contributions of their members limited their interventions. F</w:t>
      </w:r>
      <w:r w:rsidR="006B6E73" w:rsidRPr="00645371">
        <w:rPr>
          <w:lang w:eastAsia="fr-FR"/>
        </w:rPr>
        <w:t>inancial institution</w:t>
      </w:r>
      <w:r w:rsidR="006B6E73">
        <w:rPr>
          <w:lang w:eastAsia="fr-FR"/>
        </w:rPr>
        <w:t>s for agricultural credit</w:t>
      </w:r>
      <w:r>
        <w:rPr>
          <w:lang w:eastAsia="fr-FR"/>
        </w:rPr>
        <w:t xml:space="preserve"> supposed to overcome the lack of public agricultural funds </w:t>
      </w:r>
      <w:r w:rsidR="006B6E73">
        <w:rPr>
          <w:lang w:eastAsia="fr-FR"/>
        </w:rPr>
        <w:t>do not exist.</w:t>
      </w:r>
    </w:p>
    <w:p w:rsidR="006B6E73" w:rsidRDefault="006B6E73" w:rsidP="00673D53">
      <w:pPr>
        <w:autoSpaceDE w:val="0"/>
        <w:autoSpaceDN w:val="0"/>
        <w:adjustRightInd w:val="0"/>
        <w:spacing w:before="0" w:after="0"/>
      </w:pPr>
    </w:p>
    <w:p w:rsidR="000F60D6" w:rsidRPr="00673D53" w:rsidRDefault="006B6E73" w:rsidP="00673D53">
      <w:pPr>
        <w:spacing w:before="0"/>
        <w:rPr>
          <w:b/>
        </w:rPr>
      </w:pPr>
      <w:r w:rsidRPr="00673D53">
        <w:rPr>
          <w:b/>
        </w:rPr>
        <w:t>R</w:t>
      </w:r>
      <w:r w:rsidR="00673D53">
        <w:rPr>
          <w:b/>
        </w:rPr>
        <w:t>ecommendations</w:t>
      </w:r>
    </w:p>
    <w:p w:rsidR="00C168FE" w:rsidRPr="00385F07" w:rsidRDefault="00C168FE" w:rsidP="00673D53">
      <w:pPr>
        <w:spacing w:before="0" w:after="0"/>
        <w:rPr>
          <w:b/>
          <w:i/>
        </w:rPr>
      </w:pPr>
      <w:r w:rsidRPr="00385F07">
        <w:rPr>
          <w:i/>
        </w:rPr>
        <w:t>P</w:t>
      </w:r>
      <w:r w:rsidRPr="00385F07">
        <w:rPr>
          <w:b/>
          <w:i/>
        </w:rPr>
        <w:t xml:space="preserve">ublic financed extension requires mobilization of greater government support </w:t>
      </w:r>
    </w:p>
    <w:p w:rsidR="00D75D12" w:rsidRDefault="00DB3327" w:rsidP="007001EA">
      <w:pPr>
        <w:widowControl w:val="0"/>
        <w:autoSpaceDE w:val="0"/>
        <w:autoSpaceDN w:val="0"/>
        <w:adjustRightInd w:val="0"/>
        <w:spacing w:before="0" w:after="0"/>
        <w:jc w:val="both"/>
      </w:pPr>
      <w:r>
        <w:rPr>
          <w:lang w:eastAsia="fr-FR"/>
        </w:rPr>
        <w:t>N</w:t>
      </w:r>
      <w:r w:rsidRPr="00645371">
        <w:rPr>
          <w:lang w:eastAsia="fr-FR"/>
        </w:rPr>
        <w:t>ational budget allocated to agriculture</w:t>
      </w:r>
      <w:r>
        <w:t xml:space="preserve"> </w:t>
      </w:r>
      <w:r w:rsidR="00D75D12">
        <w:t xml:space="preserve">should </w:t>
      </w:r>
      <w:r w:rsidR="009637E1">
        <w:t>address</w:t>
      </w:r>
      <w:r>
        <w:t xml:space="preserve"> </w:t>
      </w:r>
      <w:r w:rsidR="00D75D12">
        <w:t xml:space="preserve">adequate funding of agricultural </w:t>
      </w:r>
      <w:r>
        <w:t xml:space="preserve">sector activities </w:t>
      </w:r>
      <w:r w:rsidR="00D75D12">
        <w:t>cover</w:t>
      </w:r>
      <w:r>
        <w:t>ing</w:t>
      </w:r>
      <w:r w:rsidR="00D75D12">
        <w:t xml:space="preserve"> salaries of its agents, operating costs, and capital investments over the long term</w:t>
      </w:r>
      <w:r>
        <w:t xml:space="preserve">. </w:t>
      </w:r>
      <w:r w:rsidR="00D75D12">
        <w:t xml:space="preserve"> </w:t>
      </w:r>
      <w:r>
        <w:t>Assessment of the performance of extension personnel is</w:t>
      </w:r>
      <w:r w:rsidR="00D75D12">
        <w:t xml:space="preserve"> needed to make national agricultural extension more effective. The Comprehensive Africa Agriculture Development Program (CAADP) process offers the government a mechanism for structuring </w:t>
      </w:r>
      <w:r w:rsidR="00C257F8">
        <w:t>its</w:t>
      </w:r>
      <w:r w:rsidR="00D75D12">
        <w:t xml:space="preserve"> investments</w:t>
      </w:r>
      <w:r w:rsidR="00773F12">
        <w:t xml:space="preserve"> at both national and regional levels. </w:t>
      </w:r>
    </w:p>
    <w:p w:rsidR="00773F12" w:rsidRDefault="00773F12" w:rsidP="00673D53">
      <w:pPr>
        <w:widowControl w:val="0"/>
        <w:autoSpaceDE w:val="0"/>
        <w:autoSpaceDN w:val="0"/>
        <w:adjustRightInd w:val="0"/>
        <w:spacing w:before="0" w:after="0"/>
        <w:jc w:val="both"/>
      </w:pPr>
    </w:p>
    <w:p w:rsidR="00BE2894" w:rsidRPr="00385F07" w:rsidRDefault="00366C00" w:rsidP="00673D53">
      <w:pPr>
        <w:spacing w:before="0" w:after="0"/>
        <w:rPr>
          <w:b/>
          <w:i/>
        </w:rPr>
      </w:pPr>
      <w:r w:rsidRPr="00385F07">
        <w:rPr>
          <w:b/>
          <w:i/>
        </w:rPr>
        <w:t>Build</w:t>
      </w:r>
      <w:r w:rsidR="00DB3327" w:rsidRPr="00385F07">
        <w:rPr>
          <w:b/>
          <w:i/>
        </w:rPr>
        <w:t xml:space="preserve"> public-private partnership</w:t>
      </w:r>
      <w:r w:rsidR="0068353F" w:rsidRPr="00385F07">
        <w:rPr>
          <w:b/>
          <w:i/>
        </w:rPr>
        <w:t>s</w:t>
      </w:r>
      <w:r w:rsidR="00DB3327" w:rsidRPr="00385F07">
        <w:rPr>
          <w:b/>
          <w:i/>
        </w:rPr>
        <w:t xml:space="preserve"> </w:t>
      </w:r>
      <w:r w:rsidRPr="00385F07">
        <w:rPr>
          <w:b/>
          <w:i/>
        </w:rPr>
        <w:t xml:space="preserve">aimed at </w:t>
      </w:r>
      <w:r w:rsidR="00BE2894" w:rsidRPr="00385F07">
        <w:rPr>
          <w:b/>
          <w:i/>
        </w:rPr>
        <w:t xml:space="preserve">promoting market-oriented </w:t>
      </w:r>
      <w:r w:rsidR="00536F5E" w:rsidRPr="00385F07">
        <w:rPr>
          <w:b/>
          <w:i/>
        </w:rPr>
        <w:t xml:space="preserve">and farmer-driven </w:t>
      </w:r>
      <w:r w:rsidR="00385F07">
        <w:rPr>
          <w:b/>
          <w:i/>
        </w:rPr>
        <w:t>production</w:t>
      </w:r>
    </w:p>
    <w:p w:rsidR="00AC75DD" w:rsidRDefault="00BE2894" w:rsidP="00673D53">
      <w:pPr>
        <w:widowControl w:val="0"/>
        <w:autoSpaceDE w:val="0"/>
        <w:autoSpaceDN w:val="0"/>
        <w:adjustRightInd w:val="0"/>
        <w:spacing w:before="0" w:after="0"/>
        <w:jc w:val="both"/>
      </w:pPr>
      <w:r w:rsidRPr="00BE2894">
        <w:t>Extension systems need different providers for different clienteles</w:t>
      </w:r>
      <w:r w:rsidR="00780E57">
        <w:t xml:space="preserve"> and types of services</w:t>
      </w:r>
      <w:r w:rsidR="00536F5E">
        <w:t>. P</w:t>
      </w:r>
      <w:r w:rsidRPr="00BE2894">
        <w:t xml:space="preserve">ublic </w:t>
      </w:r>
      <w:r w:rsidR="003D73CF">
        <w:t xml:space="preserve">service </w:t>
      </w:r>
      <w:r w:rsidRPr="00BE2894">
        <w:t>provi</w:t>
      </w:r>
      <w:r w:rsidR="003D73CF">
        <w:t>sion</w:t>
      </w:r>
      <w:r w:rsidRPr="00BE2894">
        <w:t xml:space="preserve"> and funding </w:t>
      </w:r>
      <w:r w:rsidR="00536F5E">
        <w:t>need to focus</w:t>
      </w:r>
      <w:r w:rsidRPr="00BE2894">
        <w:t xml:space="preserve"> more on smaller-scale</w:t>
      </w:r>
      <w:r w:rsidR="00ED716E">
        <w:t xml:space="preserve"> and</w:t>
      </w:r>
      <w:r w:rsidRPr="00BE2894">
        <w:t xml:space="preserve"> less commercial farmers</w:t>
      </w:r>
      <w:r w:rsidR="00536F5E">
        <w:t xml:space="preserve"> as well as on </w:t>
      </w:r>
      <w:r w:rsidR="00ED716E">
        <w:t>public good type of service</w:t>
      </w:r>
      <w:r w:rsidRPr="00BE2894">
        <w:t>. The public sector may need to provide some regulatory oversight of private-sector extension activities</w:t>
      </w:r>
      <w:r w:rsidR="00675684">
        <w:t>. T</w:t>
      </w:r>
      <w:r>
        <w:t>he FBO may</w:t>
      </w:r>
      <w:r w:rsidR="00675684">
        <w:t xml:space="preserve"> involve </w:t>
      </w:r>
      <w:r w:rsidR="00780E57">
        <w:t>making</w:t>
      </w:r>
      <w:r>
        <w:t xml:space="preserve"> extension services more relevant to the needs of farmers.</w:t>
      </w:r>
    </w:p>
    <w:p w:rsidR="00367601" w:rsidRDefault="00367601" w:rsidP="00673D53">
      <w:pPr>
        <w:widowControl w:val="0"/>
        <w:autoSpaceDE w:val="0"/>
        <w:autoSpaceDN w:val="0"/>
        <w:adjustRightInd w:val="0"/>
        <w:spacing w:before="0" w:after="0"/>
        <w:jc w:val="both"/>
      </w:pPr>
    </w:p>
    <w:p w:rsidR="00AC75DD" w:rsidRDefault="00AC75DD" w:rsidP="00673D53">
      <w:pPr>
        <w:widowControl w:val="0"/>
        <w:autoSpaceDE w:val="0"/>
        <w:autoSpaceDN w:val="0"/>
        <w:adjustRightInd w:val="0"/>
        <w:spacing w:before="0" w:after="0"/>
        <w:jc w:val="both"/>
        <w:rPr>
          <w:b/>
        </w:rPr>
      </w:pPr>
      <w:r w:rsidRPr="00385F07">
        <w:rPr>
          <w:b/>
          <w:i/>
        </w:rPr>
        <w:t>Coordinate donor support with national pr</w:t>
      </w:r>
      <w:r w:rsidR="003D73CF" w:rsidRPr="00385F07">
        <w:rPr>
          <w:b/>
          <w:i/>
        </w:rPr>
        <w:t>ograms</w:t>
      </w:r>
      <w:r>
        <w:rPr>
          <w:b/>
        </w:rPr>
        <w:t>.</w:t>
      </w:r>
    </w:p>
    <w:p w:rsidR="008E210A" w:rsidRDefault="00675684" w:rsidP="007001EA">
      <w:pPr>
        <w:autoSpaceDE w:val="0"/>
        <w:autoSpaceDN w:val="0"/>
        <w:adjustRightInd w:val="0"/>
        <w:spacing w:before="0" w:after="0"/>
        <w:jc w:val="both"/>
        <w:rPr>
          <w:lang w:eastAsia="fr-FR"/>
        </w:rPr>
      </w:pPr>
      <w:r>
        <w:rPr>
          <w:lang w:eastAsia="fr-FR"/>
        </w:rPr>
        <w:t>P</w:t>
      </w:r>
      <w:r w:rsidR="008E210A">
        <w:rPr>
          <w:lang w:eastAsia="fr-FR"/>
        </w:rPr>
        <w:t xml:space="preserve">rivate sector provision </w:t>
      </w:r>
      <w:r>
        <w:rPr>
          <w:lang w:eastAsia="fr-FR"/>
        </w:rPr>
        <w:t xml:space="preserve">through donor support </w:t>
      </w:r>
      <w:r w:rsidR="008E210A">
        <w:rPr>
          <w:lang w:eastAsia="fr-FR"/>
        </w:rPr>
        <w:t>needs to be addressed from a more programmatic approach. A new framework is needed whereby governments put forward strategic p</w:t>
      </w:r>
      <w:r w:rsidR="001C5B80">
        <w:rPr>
          <w:lang w:eastAsia="fr-FR"/>
        </w:rPr>
        <w:t>lanning</w:t>
      </w:r>
      <w:r w:rsidR="008E210A">
        <w:rPr>
          <w:lang w:eastAsia="fr-FR"/>
        </w:rPr>
        <w:t xml:space="preserve"> and donors contribute </w:t>
      </w:r>
      <w:r w:rsidR="003D73CF">
        <w:rPr>
          <w:lang w:eastAsia="fr-FR"/>
        </w:rPr>
        <w:t xml:space="preserve">to </w:t>
      </w:r>
      <w:r w:rsidR="008E210A">
        <w:rPr>
          <w:lang w:eastAsia="fr-FR"/>
        </w:rPr>
        <w:t xml:space="preserve">budgetary support to those programs; this could potentially be worked out through CARG. </w:t>
      </w:r>
    </w:p>
    <w:p w:rsidR="00367601" w:rsidRDefault="00367601" w:rsidP="007001EA">
      <w:pPr>
        <w:autoSpaceDE w:val="0"/>
        <w:autoSpaceDN w:val="0"/>
        <w:adjustRightInd w:val="0"/>
        <w:spacing w:before="0" w:after="0"/>
        <w:jc w:val="both"/>
        <w:rPr>
          <w:lang w:eastAsia="fr-FR"/>
        </w:rPr>
      </w:pPr>
    </w:p>
    <w:p w:rsidR="00367601" w:rsidRPr="00385F07" w:rsidRDefault="00367601" w:rsidP="007001EA">
      <w:pPr>
        <w:keepNext/>
        <w:autoSpaceDE w:val="0"/>
        <w:autoSpaceDN w:val="0"/>
        <w:adjustRightInd w:val="0"/>
        <w:spacing w:before="0" w:after="0"/>
        <w:rPr>
          <w:b/>
          <w:i/>
        </w:rPr>
      </w:pPr>
      <w:r w:rsidRPr="00385F07">
        <w:rPr>
          <w:b/>
          <w:i/>
        </w:rPr>
        <w:t>Mobilize internal savings for complementary resources</w:t>
      </w:r>
    </w:p>
    <w:p w:rsidR="00367601" w:rsidRDefault="00367601" w:rsidP="007001EA">
      <w:pPr>
        <w:autoSpaceDE w:val="0"/>
        <w:autoSpaceDN w:val="0"/>
        <w:adjustRightInd w:val="0"/>
        <w:spacing w:before="0" w:after="0"/>
        <w:jc w:val="both"/>
      </w:pPr>
      <w:r>
        <w:t xml:space="preserve">The </w:t>
      </w:r>
      <w:r w:rsidR="00B656A6">
        <w:t xml:space="preserve">operationalization of </w:t>
      </w:r>
      <w:r>
        <w:t xml:space="preserve">the National Agricultural Development Fund through the Agricultural Law recently promulgated is a major step toward adequate financing of the agricultural sector in DRC. In addition to </w:t>
      </w:r>
      <w:r w:rsidR="00B656A6" w:rsidRPr="00B656A6">
        <w:t>continuing and increased financial support by governments and donor organizations</w:t>
      </w:r>
      <w:r>
        <w:t xml:space="preserve">’ contributions, </w:t>
      </w:r>
      <w:r w:rsidR="006C5EC2">
        <w:t xml:space="preserve">proceeds of tax on imported agricultural and food products, </w:t>
      </w:r>
      <w:r w:rsidR="00532B5D">
        <w:t xml:space="preserve">portion of </w:t>
      </w:r>
      <w:r w:rsidR="00C257F8">
        <w:t>mining sector</w:t>
      </w:r>
      <w:r w:rsidR="006C5EC2">
        <w:t xml:space="preserve"> </w:t>
      </w:r>
      <w:r w:rsidR="00532B5D">
        <w:t xml:space="preserve">revenue </w:t>
      </w:r>
      <w:r w:rsidR="006C5EC2">
        <w:t xml:space="preserve">will </w:t>
      </w:r>
      <w:r w:rsidR="001C5B80">
        <w:t xml:space="preserve">be another financing </w:t>
      </w:r>
      <w:r w:rsidR="00B656A6">
        <w:t>resources</w:t>
      </w:r>
      <w:r w:rsidR="001C5B80">
        <w:t xml:space="preserve"> for this fund. </w:t>
      </w:r>
      <w:r>
        <w:t xml:space="preserve"> </w:t>
      </w:r>
    </w:p>
    <w:p w:rsidR="00367601" w:rsidRPr="008E210A" w:rsidRDefault="00367601" w:rsidP="00673D53">
      <w:pPr>
        <w:autoSpaceDE w:val="0"/>
        <w:autoSpaceDN w:val="0"/>
        <w:adjustRightInd w:val="0"/>
        <w:spacing w:before="0" w:after="0"/>
        <w:rPr>
          <w:lang w:eastAsia="fr-FR"/>
        </w:rPr>
      </w:pPr>
    </w:p>
    <w:p w:rsidR="00B656A6" w:rsidRPr="00673D53" w:rsidRDefault="00990DBC" w:rsidP="00673D53">
      <w:pPr>
        <w:spacing w:before="0"/>
        <w:rPr>
          <w:b/>
          <w:color w:val="365F91" w:themeColor="accent1" w:themeShade="BF"/>
          <w:u w:val="single"/>
        </w:rPr>
      </w:pPr>
      <w:r w:rsidRPr="00673D53">
        <w:rPr>
          <w:b/>
          <w:color w:val="365F91" w:themeColor="accent1" w:themeShade="BF"/>
          <w:u w:val="single"/>
        </w:rPr>
        <w:t>CAPACITY STRENGTHENING OF EXTENSION SERVICE PROVIDERS</w:t>
      </w:r>
    </w:p>
    <w:p w:rsidR="00DB3327" w:rsidRPr="00673D53" w:rsidRDefault="00990DBC" w:rsidP="00673D53">
      <w:pPr>
        <w:spacing w:before="0"/>
        <w:rPr>
          <w:b/>
        </w:rPr>
      </w:pPr>
      <w:r w:rsidRPr="00673D53">
        <w:rPr>
          <w:b/>
        </w:rPr>
        <w:t>Current Situation and challenges</w:t>
      </w:r>
    </w:p>
    <w:p w:rsidR="00667A54" w:rsidRDefault="002F4E97" w:rsidP="007001EA">
      <w:pPr>
        <w:autoSpaceDE w:val="0"/>
        <w:autoSpaceDN w:val="0"/>
        <w:adjustRightInd w:val="0"/>
        <w:spacing w:before="0" w:after="0"/>
        <w:jc w:val="both"/>
      </w:pPr>
      <w:r w:rsidRPr="00640FF6">
        <w:t>Well-trained extension personnel are</w:t>
      </w:r>
      <w:r w:rsidR="009B18F1" w:rsidRPr="00640FF6">
        <w:t xml:space="preserve"> essential to produce high-quality agricultural extension. </w:t>
      </w:r>
    </w:p>
    <w:p w:rsidR="00FD4886" w:rsidRDefault="00532B5D" w:rsidP="007001EA">
      <w:pPr>
        <w:autoSpaceDE w:val="0"/>
        <w:autoSpaceDN w:val="0"/>
        <w:adjustRightInd w:val="0"/>
        <w:spacing w:before="0" w:after="0"/>
        <w:jc w:val="both"/>
      </w:pPr>
      <w:r>
        <w:t>P</w:t>
      </w:r>
      <w:r w:rsidR="00667A54" w:rsidRPr="00640FF6">
        <w:t xml:space="preserve">ublic extension staffing in DRC is characterized by an aging pool of extension staff </w:t>
      </w:r>
      <w:r w:rsidR="00DF2E19">
        <w:t xml:space="preserve">who </w:t>
      </w:r>
      <w:r w:rsidR="00667A54" w:rsidRPr="00640FF6">
        <w:t xml:space="preserve">do not receive </w:t>
      </w:r>
      <w:r w:rsidR="00667A54" w:rsidRPr="00B45842">
        <w:t>up-to-date training and skills development</w:t>
      </w:r>
      <w:r w:rsidR="00DF2E19">
        <w:t xml:space="preserve">. </w:t>
      </w:r>
      <w:r w:rsidR="00667A54">
        <w:t xml:space="preserve"> </w:t>
      </w:r>
      <w:r w:rsidR="00FD4886">
        <w:t>Thus, the</w:t>
      </w:r>
      <w:r w:rsidR="00FD4886" w:rsidRPr="00640FF6">
        <w:t xml:space="preserve"> ma</w:t>
      </w:r>
      <w:r w:rsidR="00FD4886">
        <w:t xml:space="preserve">in </w:t>
      </w:r>
      <w:r w:rsidR="00FD4886" w:rsidRPr="00640FF6">
        <w:t xml:space="preserve">problem is </w:t>
      </w:r>
      <w:r w:rsidR="00FD4886">
        <w:t xml:space="preserve">on </w:t>
      </w:r>
      <w:r w:rsidR="00FD4886" w:rsidRPr="00640FF6">
        <w:t xml:space="preserve">the very low and declining </w:t>
      </w:r>
      <w:r w:rsidR="00FD4886">
        <w:rPr>
          <w:rFonts w:ascii="Times" w:hAnsi="Times"/>
        </w:rPr>
        <w:t xml:space="preserve">technical, organizational, and managerial capacities </w:t>
      </w:r>
      <w:r w:rsidR="00FD4886" w:rsidRPr="00640FF6">
        <w:t xml:space="preserve">of human resource </w:t>
      </w:r>
      <w:r w:rsidR="00FD4886">
        <w:t xml:space="preserve">to respond to the </w:t>
      </w:r>
      <w:r w:rsidR="00FD4886" w:rsidRPr="004B06E8">
        <w:rPr>
          <w:lang w:eastAsia="fr-FR"/>
        </w:rPr>
        <w:t>market needs and n</w:t>
      </w:r>
      <w:r w:rsidR="00FD4886">
        <w:rPr>
          <w:lang w:eastAsia="fr-FR"/>
        </w:rPr>
        <w:t xml:space="preserve">ational priorities </w:t>
      </w:r>
      <w:r w:rsidR="00FD4886" w:rsidRPr="00640FF6">
        <w:t>in extension</w:t>
      </w:r>
      <w:r w:rsidR="00FD4886">
        <w:t xml:space="preserve">, noting that the </w:t>
      </w:r>
      <w:r w:rsidR="00815414" w:rsidRPr="00640FF6">
        <w:t xml:space="preserve">farmers-to-agent ratio </w:t>
      </w:r>
      <w:r w:rsidR="00815414">
        <w:t xml:space="preserve">is </w:t>
      </w:r>
      <w:r w:rsidR="00FD4886" w:rsidRPr="00640FF6">
        <w:t>estimate</w:t>
      </w:r>
      <w:r w:rsidR="00815414">
        <w:t>d</w:t>
      </w:r>
      <w:r w:rsidR="00FD4886" w:rsidRPr="00640FF6">
        <w:t xml:space="preserve"> </w:t>
      </w:r>
      <w:r w:rsidR="00815414">
        <w:t>at 1</w:t>
      </w:r>
      <w:r w:rsidR="00174876">
        <w:t xml:space="preserve"> to</w:t>
      </w:r>
      <w:r w:rsidR="00FD4886" w:rsidRPr="00640FF6">
        <w:t xml:space="preserve"> </w:t>
      </w:r>
      <w:r w:rsidR="00815414">
        <w:t xml:space="preserve">535. </w:t>
      </w:r>
      <w:r w:rsidR="00FD4886">
        <w:t xml:space="preserve"> </w:t>
      </w:r>
    </w:p>
    <w:p w:rsidR="000C0A48" w:rsidRDefault="00FD4886" w:rsidP="007001EA">
      <w:pPr>
        <w:autoSpaceDE w:val="0"/>
        <w:autoSpaceDN w:val="0"/>
        <w:adjustRightInd w:val="0"/>
        <w:spacing w:before="0" w:after="0"/>
        <w:jc w:val="both"/>
      </w:pPr>
      <w:r>
        <w:t xml:space="preserve"> </w:t>
      </w:r>
    </w:p>
    <w:p w:rsidR="00667A54" w:rsidRDefault="00667A54" w:rsidP="007001EA">
      <w:pPr>
        <w:autoSpaceDE w:val="0"/>
        <w:autoSpaceDN w:val="0"/>
        <w:adjustRightInd w:val="0"/>
        <w:spacing w:before="0" w:after="0"/>
        <w:jc w:val="both"/>
      </w:pPr>
      <w:r>
        <w:t>The absence of linkage between education and extension limits the impact of  the a</w:t>
      </w:r>
      <w:r w:rsidRPr="00DB59D7">
        <w:t>gricultural education</w:t>
      </w:r>
      <w:r>
        <w:t xml:space="preserve">, </w:t>
      </w:r>
      <w:r w:rsidRPr="00DB59D7">
        <w:t>the University, the Faculty of Agronomy and the institutes of agronomic studies</w:t>
      </w:r>
      <w:r>
        <w:t xml:space="preserve"> (</w:t>
      </w:r>
      <w:r w:rsidRPr="005965D0">
        <w:t>ISEAs</w:t>
      </w:r>
      <w:r>
        <w:t>)</w:t>
      </w:r>
      <w:r w:rsidRPr="00DB59D7">
        <w:t xml:space="preserve"> and </w:t>
      </w:r>
      <w:r>
        <w:t>r</w:t>
      </w:r>
      <w:r w:rsidRPr="00DB59D7">
        <w:t xml:space="preserve">ural </w:t>
      </w:r>
      <w:r>
        <w:t>d</w:t>
      </w:r>
      <w:r w:rsidRPr="00DB59D7">
        <w:t xml:space="preserve">evelopment </w:t>
      </w:r>
      <w:r>
        <w:t>studies (</w:t>
      </w:r>
      <w:r w:rsidRPr="005965D0">
        <w:t>ISDRs</w:t>
      </w:r>
      <w:r>
        <w:t xml:space="preserve">)  on the extension system whose </w:t>
      </w:r>
      <w:r w:rsidR="003A1AE9">
        <w:t xml:space="preserve">mission is to </w:t>
      </w:r>
      <w:r w:rsidR="003A1AE9" w:rsidRPr="005965D0">
        <w:t xml:space="preserve">contribute to a sustainable </w:t>
      </w:r>
      <w:r w:rsidR="005D3423">
        <w:t xml:space="preserve">education </w:t>
      </w:r>
      <w:r w:rsidR="003A1AE9" w:rsidRPr="005965D0">
        <w:t xml:space="preserve">and socio-economic development of the </w:t>
      </w:r>
      <w:r w:rsidR="003A1AE9">
        <w:t>agricultural sector</w:t>
      </w:r>
      <w:r>
        <w:t>.</w:t>
      </w:r>
      <w:r w:rsidR="003A1AE9">
        <w:t xml:space="preserve"> </w:t>
      </w:r>
    </w:p>
    <w:p w:rsidR="00667A54" w:rsidRDefault="00667A54" w:rsidP="007001EA">
      <w:pPr>
        <w:autoSpaceDE w:val="0"/>
        <w:autoSpaceDN w:val="0"/>
        <w:adjustRightInd w:val="0"/>
        <w:spacing w:before="0" w:after="0"/>
        <w:jc w:val="both"/>
      </w:pPr>
    </w:p>
    <w:p w:rsidR="002F4E97" w:rsidRDefault="002F4E97" w:rsidP="007001EA">
      <w:pPr>
        <w:autoSpaceDE w:val="0"/>
        <w:autoSpaceDN w:val="0"/>
        <w:adjustRightInd w:val="0"/>
        <w:spacing w:before="0" w:after="0"/>
        <w:jc w:val="both"/>
      </w:pPr>
      <w:r w:rsidRPr="002F4E97">
        <w:t xml:space="preserve">In addition, </w:t>
      </w:r>
      <w:r>
        <w:t>factors affecting performance of extension staff</w:t>
      </w:r>
      <w:r w:rsidRPr="002F4E97">
        <w:t xml:space="preserve"> </w:t>
      </w:r>
      <w:r>
        <w:t xml:space="preserve">such as </w:t>
      </w:r>
      <w:r w:rsidRPr="002F4E97">
        <w:t>salary levels, conditions of service, and facilities and equipment, continue to be poor, prompting them to pursue more attractive opportunities in the private sector or doing other activities while st</w:t>
      </w:r>
      <w:r>
        <w:t xml:space="preserve">aying </w:t>
      </w:r>
      <w:r w:rsidRPr="002F4E97">
        <w:t xml:space="preserve">officially </w:t>
      </w:r>
      <w:r>
        <w:t xml:space="preserve">as </w:t>
      </w:r>
      <w:r w:rsidRPr="002F4E97">
        <w:t xml:space="preserve">public extension providers. </w:t>
      </w:r>
      <w:r>
        <w:t>L</w:t>
      </w:r>
      <w:r w:rsidRPr="00B45842">
        <w:t>ack of performance targets, mission-orientation, and accountability measures</w:t>
      </w:r>
      <w:r w:rsidR="006E1004">
        <w:t xml:space="preserve">, </w:t>
      </w:r>
      <w:r>
        <w:t>unclear</w:t>
      </w:r>
      <w:r w:rsidRPr="00B45842">
        <w:t xml:space="preserve"> vision, </w:t>
      </w:r>
      <w:r>
        <w:t>mandate and strategic planning</w:t>
      </w:r>
      <w:r w:rsidR="006E1004">
        <w:t>, l</w:t>
      </w:r>
      <w:r w:rsidR="006E1004" w:rsidRPr="00B45842">
        <w:t>ack of communication about ongoing reforms</w:t>
      </w:r>
      <w:r>
        <w:t xml:space="preserve"> are also well recognized as capacity constraints to agricultural extension</w:t>
      </w:r>
      <w:r w:rsidR="006E1004">
        <w:t xml:space="preserve"> in the DRC</w:t>
      </w:r>
      <w:r>
        <w:t>.</w:t>
      </w:r>
    </w:p>
    <w:p w:rsidR="007B5C7F" w:rsidRDefault="007B5C7F" w:rsidP="00673D53">
      <w:pPr>
        <w:autoSpaceDE w:val="0"/>
        <w:autoSpaceDN w:val="0"/>
        <w:adjustRightInd w:val="0"/>
        <w:spacing w:before="0" w:after="0"/>
      </w:pPr>
    </w:p>
    <w:p w:rsidR="005D3423" w:rsidRPr="00673D53" w:rsidRDefault="007F30E7" w:rsidP="007F30E7">
      <w:pPr>
        <w:spacing w:before="0"/>
        <w:rPr>
          <w:b/>
        </w:rPr>
      </w:pPr>
      <w:r>
        <w:rPr>
          <w:b/>
        </w:rPr>
        <w:t>Recommendations</w:t>
      </w:r>
    </w:p>
    <w:p w:rsidR="00D43F96" w:rsidRPr="00385F07" w:rsidRDefault="00D43F96" w:rsidP="00673D53">
      <w:pPr>
        <w:autoSpaceDE w:val="0"/>
        <w:autoSpaceDN w:val="0"/>
        <w:adjustRightInd w:val="0"/>
        <w:spacing w:before="0" w:after="0"/>
        <w:rPr>
          <w:rFonts w:ascii="MyriadPro-Regular" w:hAnsi="MyriadPro-Regular" w:cs="MyriadPro-Regular"/>
          <w:b/>
          <w:i/>
          <w:sz w:val="20"/>
          <w:szCs w:val="20"/>
        </w:rPr>
      </w:pPr>
      <w:r w:rsidRPr="00385F07">
        <w:rPr>
          <w:rFonts w:ascii="MyriadPro-BoldIt" w:eastAsiaTheme="minorHAnsi" w:hAnsi="MyriadPro-BoldIt" w:cs="MyriadPro-BoldIt"/>
          <w:b/>
          <w:bCs/>
          <w:i/>
          <w:sz w:val="20"/>
          <w:szCs w:val="20"/>
        </w:rPr>
        <w:t xml:space="preserve">Strengthen institutional capacity to create an enabling environment </w:t>
      </w:r>
    </w:p>
    <w:p w:rsidR="006E1004" w:rsidRDefault="005D3423" w:rsidP="007001EA">
      <w:pPr>
        <w:spacing w:before="0" w:after="0"/>
        <w:jc w:val="both"/>
      </w:pPr>
      <w:r w:rsidRPr="00F044B7">
        <w:t>Human resource reform is a priority</w:t>
      </w:r>
      <w:r>
        <w:t xml:space="preserve">: </w:t>
      </w:r>
      <w:r w:rsidRPr="00F044B7">
        <w:t xml:space="preserve"> </w:t>
      </w:r>
      <w:r w:rsidR="006E1004">
        <w:t>S</w:t>
      </w:r>
      <w:r w:rsidRPr="00F044B7">
        <w:t>trategy involving r</w:t>
      </w:r>
      <w:r w:rsidR="006E1004">
        <w:t xml:space="preserve">etiring those who are above 60 </w:t>
      </w:r>
      <w:r w:rsidRPr="00F044B7">
        <w:t>and hiring new well-qualified staff</w:t>
      </w:r>
      <w:r w:rsidR="006E1004">
        <w:t xml:space="preserve"> is important.</w:t>
      </w:r>
      <w:r w:rsidR="006E1004">
        <w:rPr>
          <w:lang w:eastAsia="fr-FR"/>
        </w:rPr>
        <w:t xml:space="preserve"> </w:t>
      </w:r>
      <w:r w:rsidR="006E1004" w:rsidRPr="004B06E8">
        <w:rPr>
          <w:lang w:eastAsia="fr-FR"/>
        </w:rPr>
        <w:t xml:space="preserve">Institutionalized training and </w:t>
      </w:r>
      <w:r w:rsidR="006E1004" w:rsidRPr="004B06E8">
        <w:t xml:space="preserve">strengthening </w:t>
      </w:r>
      <w:r w:rsidR="006E1004">
        <w:t xml:space="preserve">of the extension personnel </w:t>
      </w:r>
      <w:r w:rsidR="001163F6">
        <w:t xml:space="preserve">must be consisted in </w:t>
      </w:r>
      <w:r w:rsidR="006E1004" w:rsidRPr="004B06E8">
        <w:t xml:space="preserve">skills upgrading, incentives and enabling environment for </w:t>
      </w:r>
      <w:r w:rsidR="006E1004">
        <w:t xml:space="preserve">both </w:t>
      </w:r>
      <w:r w:rsidR="006E1004" w:rsidRPr="004B06E8">
        <w:t>traine</w:t>
      </w:r>
      <w:r w:rsidR="006E1004">
        <w:t xml:space="preserve">es </w:t>
      </w:r>
      <w:r w:rsidR="006E1004" w:rsidRPr="004B06E8">
        <w:t>and teachers</w:t>
      </w:r>
      <w:r w:rsidR="001163F6">
        <w:t>,</w:t>
      </w:r>
      <w:r w:rsidR="006E1004" w:rsidRPr="004B06E8">
        <w:t xml:space="preserve"> curriculum development that respond to market needs and n</w:t>
      </w:r>
      <w:r w:rsidR="001163F6">
        <w:t>ational priorities</w:t>
      </w:r>
      <w:r w:rsidR="006E1004">
        <w:t>.</w:t>
      </w:r>
    </w:p>
    <w:p w:rsidR="00385F07" w:rsidRDefault="00385F07" w:rsidP="00673D53">
      <w:pPr>
        <w:autoSpaceDE w:val="0"/>
        <w:autoSpaceDN w:val="0"/>
        <w:adjustRightInd w:val="0"/>
        <w:spacing w:before="0" w:after="0"/>
      </w:pPr>
    </w:p>
    <w:p w:rsidR="00D43F96" w:rsidRPr="00385F07" w:rsidRDefault="00D43F96" w:rsidP="00673D53">
      <w:pPr>
        <w:autoSpaceDE w:val="0"/>
        <w:autoSpaceDN w:val="0"/>
        <w:adjustRightInd w:val="0"/>
        <w:spacing w:before="0" w:after="0"/>
        <w:rPr>
          <w:i/>
        </w:rPr>
      </w:pPr>
      <w:r w:rsidRPr="00385F07">
        <w:rPr>
          <w:rFonts w:ascii="MyriadPro-BoldIt" w:eastAsiaTheme="minorHAnsi" w:hAnsi="MyriadPro-BoldIt" w:cs="MyriadPro-BoldIt"/>
          <w:b/>
          <w:bCs/>
          <w:i/>
          <w:sz w:val="20"/>
          <w:szCs w:val="20"/>
        </w:rPr>
        <w:t>Strengthen institutional capacity to create linkage between extension, education and research</w:t>
      </w:r>
    </w:p>
    <w:p w:rsidR="001C1B41" w:rsidRPr="004B06E8" w:rsidRDefault="001C1B41" w:rsidP="007001EA">
      <w:pPr>
        <w:autoSpaceDE w:val="0"/>
        <w:autoSpaceDN w:val="0"/>
        <w:adjustRightInd w:val="0"/>
        <w:spacing w:before="0" w:after="0"/>
        <w:jc w:val="both"/>
      </w:pPr>
      <w:r w:rsidRPr="00D22DF8">
        <w:t xml:space="preserve">Capacity development focused on individual professionals must be supported by strengthening institution-level capacity </w:t>
      </w:r>
      <w:r w:rsidR="00D22DF8" w:rsidRPr="00D22DF8">
        <w:t>(INERA, SENASEM, SENAFIC</w:t>
      </w:r>
      <w:r w:rsidR="00D22DF8">
        <w:t xml:space="preserve">, CARG, </w:t>
      </w:r>
      <w:r w:rsidR="00D22DF8" w:rsidRPr="001163F6">
        <w:t>peasant organizations, church-based organizations, NGO, etc...)</w:t>
      </w:r>
      <w:r w:rsidR="00D22DF8" w:rsidRPr="00D22DF8">
        <w:t xml:space="preserve"> </w:t>
      </w:r>
      <w:r w:rsidRPr="00D22DF8">
        <w:t xml:space="preserve">while pursuing program implementation, national priorities, and regional development initiatives. </w:t>
      </w:r>
    </w:p>
    <w:p w:rsidR="00B75D6B" w:rsidRDefault="00B75D6B" w:rsidP="007001EA">
      <w:pPr>
        <w:spacing w:before="0" w:after="0"/>
        <w:jc w:val="both"/>
      </w:pPr>
    </w:p>
    <w:p w:rsidR="005D3423" w:rsidRDefault="00B75D6B" w:rsidP="007001EA">
      <w:pPr>
        <w:spacing w:before="0" w:after="0"/>
        <w:jc w:val="both"/>
      </w:pPr>
      <w:r>
        <w:lastRenderedPageBreak/>
        <w:t>R</w:t>
      </w:r>
      <w:r w:rsidR="005D3423" w:rsidRPr="00F044B7">
        <w:t>eforming the agricultural education and training institutes, such as the ISDR and ISEA</w:t>
      </w:r>
      <w:r w:rsidR="005D3423">
        <w:t xml:space="preserve"> is needed. </w:t>
      </w:r>
      <w:r w:rsidR="005D3423" w:rsidRPr="00F044B7">
        <w:t xml:space="preserve">This will require updating </w:t>
      </w:r>
      <w:r w:rsidR="005D3423">
        <w:t xml:space="preserve">of </w:t>
      </w:r>
      <w:r w:rsidR="005D3423" w:rsidRPr="00F044B7">
        <w:t>their curriculum and promoting greater linkages among extension, research and universitie</w:t>
      </w:r>
      <w:r w:rsidR="005D3423">
        <w:t>s</w:t>
      </w:r>
      <w:r w:rsidR="005D3423" w:rsidRPr="00F044B7">
        <w:t xml:space="preserve">. </w:t>
      </w:r>
      <w:r w:rsidR="005D3423" w:rsidRPr="00B45842">
        <w:t xml:space="preserve"> </w:t>
      </w:r>
    </w:p>
    <w:p w:rsidR="00D43F96" w:rsidRDefault="00D43F96" w:rsidP="007001EA">
      <w:pPr>
        <w:spacing w:before="0" w:after="0"/>
        <w:jc w:val="both"/>
      </w:pPr>
    </w:p>
    <w:p w:rsidR="005D3423" w:rsidRPr="006258B1" w:rsidRDefault="00D43F96" w:rsidP="007001EA">
      <w:pPr>
        <w:spacing w:before="0" w:after="0"/>
        <w:jc w:val="both"/>
        <w:rPr>
          <w:i/>
        </w:rPr>
      </w:pPr>
      <w:r w:rsidRPr="006258B1">
        <w:rPr>
          <w:rFonts w:ascii="MyriadPro-BoldIt" w:eastAsiaTheme="minorHAnsi" w:hAnsi="MyriadPro-BoldIt" w:cs="MyriadPro-BoldIt"/>
          <w:b/>
          <w:bCs/>
          <w:i/>
          <w:sz w:val="20"/>
          <w:szCs w:val="20"/>
        </w:rPr>
        <w:t>Increase financial support</w:t>
      </w:r>
    </w:p>
    <w:p w:rsidR="00621A5E" w:rsidRDefault="00B75D6B" w:rsidP="007001EA">
      <w:pPr>
        <w:autoSpaceDE w:val="0"/>
        <w:autoSpaceDN w:val="0"/>
        <w:adjustRightInd w:val="0"/>
        <w:spacing w:before="0" w:after="0"/>
        <w:jc w:val="both"/>
      </w:pPr>
      <w:r w:rsidRPr="001163F6">
        <w:t xml:space="preserve">All of the above can only happen with </w:t>
      </w:r>
      <w:r w:rsidR="001163F6" w:rsidRPr="001163F6">
        <w:t xml:space="preserve">long-term </w:t>
      </w:r>
      <w:r w:rsidRPr="001163F6">
        <w:t>and increased financial support by governments and donor organizations</w:t>
      </w:r>
      <w:r w:rsidR="001163F6" w:rsidRPr="001163F6">
        <w:t>. To this end, the CAADP process is attempting to develop investment plans for agricultural tertiary education as part of integrated strategies for human resource development</w:t>
      </w:r>
      <w:r w:rsidR="001163F6">
        <w:t xml:space="preserve"> of </w:t>
      </w:r>
      <w:r w:rsidR="001163F6" w:rsidRPr="001163F6">
        <w:t xml:space="preserve">rural development. </w:t>
      </w:r>
    </w:p>
    <w:p w:rsidR="00DA4FDB" w:rsidRDefault="00DA4FDB" w:rsidP="007001EA">
      <w:pPr>
        <w:spacing w:before="0" w:after="0"/>
        <w:jc w:val="both"/>
      </w:pPr>
    </w:p>
    <w:p w:rsidR="00DA4FDB" w:rsidRPr="00E50D83" w:rsidRDefault="00E50D83" w:rsidP="007F30E7">
      <w:pPr>
        <w:autoSpaceDE w:val="0"/>
        <w:autoSpaceDN w:val="0"/>
        <w:adjustRightInd w:val="0"/>
        <w:spacing w:before="0"/>
        <w:rPr>
          <w:b/>
          <w:u w:val="single"/>
        </w:rPr>
      </w:pPr>
      <w:r w:rsidRPr="00673D53">
        <w:rPr>
          <w:b/>
          <w:color w:val="365F91" w:themeColor="accent1" w:themeShade="BF"/>
          <w:u w:val="single"/>
        </w:rPr>
        <w:t>DELIVERY METHOD AND TOOLS</w:t>
      </w:r>
    </w:p>
    <w:p w:rsidR="00AC69F8" w:rsidRPr="00673D53" w:rsidRDefault="00AC69F8" w:rsidP="007F30E7">
      <w:pPr>
        <w:spacing w:before="0"/>
        <w:rPr>
          <w:b/>
        </w:rPr>
      </w:pPr>
      <w:r w:rsidRPr="00673D53">
        <w:rPr>
          <w:b/>
        </w:rPr>
        <w:t>Current Situation and challenges</w:t>
      </w:r>
    </w:p>
    <w:p w:rsidR="00693B4A" w:rsidRPr="00693B4A" w:rsidRDefault="005E06A9" w:rsidP="007001EA">
      <w:pPr>
        <w:spacing w:before="0" w:after="0"/>
        <w:jc w:val="both"/>
      </w:pPr>
      <w:r w:rsidRPr="005E06A9">
        <w:t xml:space="preserve">The performance of an extension system depends, in large part, on the appropriateness of methods and tools to transfer extension message. </w:t>
      </w:r>
      <w:r w:rsidR="00693B4A" w:rsidRPr="00693B4A">
        <w:t xml:space="preserve">The results of the extension survey conducted in Bandundu, Bas-Congo, and Kinshasa revealed that travel and visit to farms, training or demonstration farms as well as information-sharing at FBO level have been used to deliver extension services to farmers.  Moreover, according to the extension workshop participants, </w:t>
      </w:r>
      <w:r w:rsidR="00672217">
        <w:t xml:space="preserve">mass media have been </w:t>
      </w:r>
      <w:r w:rsidR="00693B4A" w:rsidRPr="00693B4A">
        <w:t xml:space="preserve">also among the various channels through which extension services were provided. </w:t>
      </w:r>
    </w:p>
    <w:p w:rsidR="00A24C3D" w:rsidRDefault="00693B4A" w:rsidP="007001EA">
      <w:pPr>
        <w:spacing w:before="0" w:after="0"/>
        <w:jc w:val="both"/>
      </w:pPr>
      <w:r w:rsidRPr="009437C7">
        <w:t>Given that a</w:t>
      </w:r>
      <w:r w:rsidRPr="00C90EA5">
        <w:t xml:space="preserve">griculture </w:t>
      </w:r>
      <w:r>
        <w:t xml:space="preserve">in DRC is </w:t>
      </w:r>
      <w:r w:rsidRPr="00C90EA5">
        <w:t xml:space="preserve">dominated by low literacy capacity </w:t>
      </w:r>
      <w:r w:rsidR="00FB7696">
        <w:t xml:space="preserve">and </w:t>
      </w:r>
      <w:r w:rsidRPr="00C90EA5">
        <w:t>small scale farmers</w:t>
      </w:r>
      <w:r>
        <w:t xml:space="preserve">, some of the </w:t>
      </w:r>
      <w:r w:rsidRPr="00645371">
        <w:t>tools currently used in the extension</w:t>
      </w:r>
      <w:r>
        <w:t xml:space="preserve"> may not be </w:t>
      </w:r>
      <w:r w:rsidRPr="00645371">
        <w:t>adequa</w:t>
      </w:r>
      <w:r>
        <w:t xml:space="preserve">te.  </w:t>
      </w:r>
      <w:r w:rsidR="00A24C3D">
        <w:t>As for extension methods</w:t>
      </w:r>
      <w:r w:rsidR="00F965DD">
        <w:t xml:space="preserve">, </w:t>
      </w:r>
      <w:r w:rsidR="004E45DA">
        <w:t xml:space="preserve">it is understandable that without </w:t>
      </w:r>
      <w:r w:rsidR="00350559">
        <w:t xml:space="preserve">financial means and </w:t>
      </w:r>
      <w:r w:rsidR="004E45DA">
        <w:t xml:space="preserve">clear mission of extension, </w:t>
      </w:r>
      <w:r w:rsidR="00F965DD">
        <w:t xml:space="preserve">not all </w:t>
      </w:r>
      <w:r w:rsidR="00350559">
        <w:t>the</w:t>
      </w:r>
      <w:r w:rsidR="00F965DD">
        <w:t xml:space="preserve"> methods </w:t>
      </w:r>
      <w:r w:rsidR="00350559">
        <w:t xml:space="preserve">used </w:t>
      </w:r>
      <w:r w:rsidR="00350559" w:rsidRPr="00350559">
        <w:t xml:space="preserve">considered the needs, skills, and means of the target farmers. </w:t>
      </w:r>
      <w:r w:rsidR="00F965DD">
        <w:t xml:space="preserve"> </w:t>
      </w:r>
    </w:p>
    <w:p w:rsidR="007F30E7" w:rsidRDefault="007F30E7" w:rsidP="00673D53">
      <w:pPr>
        <w:spacing w:before="0" w:after="0"/>
      </w:pPr>
    </w:p>
    <w:p w:rsidR="00F965DD" w:rsidRPr="00673D53" w:rsidRDefault="00F965DD" w:rsidP="007F30E7">
      <w:pPr>
        <w:spacing w:before="0"/>
        <w:rPr>
          <w:b/>
        </w:rPr>
      </w:pPr>
      <w:r w:rsidRPr="00673D53">
        <w:rPr>
          <w:b/>
        </w:rPr>
        <w:t>Recommendations:</w:t>
      </w:r>
    </w:p>
    <w:p w:rsidR="006258B1" w:rsidRDefault="005E06A9" w:rsidP="00673D53">
      <w:pPr>
        <w:spacing w:before="0" w:after="0"/>
        <w:jc w:val="both"/>
      </w:pPr>
      <w:r w:rsidRPr="006258B1">
        <w:rPr>
          <w:b/>
          <w:i/>
        </w:rPr>
        <w:t>Appropriateness of methods and tools is context driven</w:t>
      </w:r>
      <w:r w:rsidRPr="004E45DA">
        <w:t xml:space="preserve">. </w:t>
      </w:r>
    </w:p>
    <w:p w:rsidR="005E06A9" w:rsidRDefault="005E06A9" w:rsidP="007001EA">
      <w:pPr>
        <w:spacing w:before="0" w:after="0"/>
        <w:jc w:val="both"/>
      </w:pPr>
      <w:r w:rsidRPr="004E45DA">
        <w:t xml:space="preserve">The approach selected should reflect </w:t>
      </w:r>
      <w:r w:rsidR="00275732">
        <w:t xml:space="preserve">the </w:t>
      </w:r>
      <w:r w:rsidR="00275732" w:rsidRPr="004E45DA">
        <w:t>prescribed</w:t>
      </w:r>
      <w:r w:rsidR="00275732">
        <w:t xml:space="preserve"> extension </w:t>
      </w:r>
      <w:r w:rsidRPr="004E45DA">
        <w:t xml:space="preserve">mission </w:t>
      </w:r>
      <w:r w:rsidR="00275732">
        <w:t>of a country</w:t>
      </w:r>
      <w:r w:rsidR="00275732" w:rsidRPr="004E45DA">
        <w:t xml:space="preserve"> </w:t>
      </w:r>
      <w:r w:rsidR="00275732">
        <w:t xml:space="preserve"> </w:t>
      </w:r>
      <w:r w:rsidRPr="004E45DA">
        <w:t xml:space="preserve">as articulated </w:t>
      </w:r>
      <w:r w:rsidR="004E45DA">
        <w:t xml:space="preserve">in </w:t>
      </w:r>
      <w:r w:rsidR="00275732">
        <w:t>its extension</w:t>
      </w:r>
      <w:r w:rsidR="00275732" w:rsidRPr="004E45DA">
        <w:t xml:space="preserve"> policy</w:t>
      </w:r>
      <w:r w:rsidR="004E45DA">
        <w:t xml:space="preserve">. </w:t>
      </w:r>
      <w:r w:rsidRPr="004E45DA">
        <w:t xml:space="preserve"> </w:t>
      </w:r>
      <w:r w:rsidR="00275732">
        <w:t>T</w:t>
      </w:r>
      <w:r w:rsidRPr="004E45DA">
        <w:t xml:space="preserve">he type of approach being used </w:t>
      </w:r>
      <w:r w:rsidR="00350559">
        <w:t>should</w:t>
      </w:r>
      <w:r w:rsidRPr="004E45DA">
        <w:t xml:space="preserve"> depend primarily on policy considerations, including the </w:t>
      </w:r>
      <w:r w:rsidR="004E45DA">
        <w:t xml:space="preserve">farmers </w:t>
      </w:r>
      <w:r w:rsidRPr="004E45DA">
        <w:t>to be served, the mission of extension, and financial considerations</w:t>
      </w:r>
      <w:r w:rsidR="004E45DA">
        <w:t xml:space="preserve">. </w:t>
      </w:r>
    </w:p>
    <w:p w:rsidR="007001EA" w:rsidRDefault="007001EA" w:rsidP="007001EA">
      <w:pPr>
        <w:spacing w:before="0" w:after="0"/>
        <w:jc w:val="both"/>
      </w:pPr>
    </w:p>
    <w:p w:rsidR="00350559" w:rsidRPr="00B5194D" w:rsidRDefault="007E5915" w:rsidP="007001EA">
      <w:pPr>
        <w:pStyle w:val="NormalWeb"/>
        <w:spacing w:before="0" w:beforeAutospacing="0" w:after="0" w:afterAutospacing="0"/>
        <w:jc w:val="both"/>
      </w:pPr>
      <w:r w:rsidRPr="007E5915">
        <w:t>Problem-solving</w:t>
      </w:r>
      <w:r>
        <w:t xml:space="preserve"> approach</w:t>
      </w:r>
      <w:r w:rsidR="005C1676">
        <w:t>,</w:t>
      </w:r>
      <w:r w:rsidRPr="007E5915">
        <w:t xml:space="preserve"> where farmers participate in defining their problem </w:t>
      </w:r>
      <w:r w:rsidR="005C1676">
        <w:t xml:space="preserve">and </w:t>
      </w:r>
      <w:r w:rsidR="005C1676" w:rsidRPr="00645371">
        <w:rPr>
          <w:lang w:eastAsia="fr-FR"/>
        </w:rPr>
        <w:t>building on local knowledge</w:t>
      </w:r>
      <w:r w:rsidR="005C1676">
        <w:rPr>
          <w:lang w:eastAsia="fr-FR"/>
        </w:rPr>
        <w:t>,</w:t>
      </w:r>
      <w:r w:rsidR="005C1676">
        <w:t xml:space="preserve"> </w:t>
      </w:r>
      <w:r w:rsidRPr="007E5915">
        <w:t xml:space="preserve">allows for the development of more appropriate content. Although these approaches use </w:t>
      </w:r>
      <w:r w:rsidR="005C1676" w:rsidRPr="007E5915">
        <w:t>techno</w:t>
      </w:r>
      <w:r w:rsidR="005C1676">
        <w:t>-</w:t>
      </w:r>
      <w:r w:rsidR="005C1676" w:rsidRPr="007E5915">
        <w:t>economic</w:t>
      </w:r>
      <w:r w:rsidRPr="007E5915">
        <w:t xml:space="preserve"> information, the socioeconomic considerations of the farmers are important. The training and visit, community development</w:t>
      </w:r>
      <w:r>
        <w:t xml:space="preserve"> </w:t>
      </w:r>
      <w:r w:rsidRPr="007E5915">
        <w:t xml:space="preserve">extension, and </w:t>
      </w:r>
      <w:r>
        <w:t>“</w:t>
      </w:r>
      <w:r w:rsidRPr="007E5915">
        <w:t xml:space="preserve">animation </w:t>
      </w:r>
      <w:proofErr w:type="spellStart"/>
      <w:r w:rsidRPr="007E5915">
        <w:t>rurale</w:t>
      </w:r>
      <w:proofErr w:type="spellEnd"/>
      <w:r>
        <w:t xml:space="preserve">” </w:t>
      </w:r>
      <w:r w:rsidRPr="007E5915">
        <w:t xml:space="preserve">approaches fall into this category. </w:t>
      </w:r>
      <w:r>
        <w:t xml:space="preserve">Thus, the presence of </w:t>
      </w:r>
      <w:r w:rsidRPr="00B5194D">
        <w:t xml:space="preserve">CARG </w:t>
      </w:r>
      <w:r>
        <w:t xml:space="preserve">would facilitate the choice of </w:t>
      </w:r>
      <w:r w:rsidRPr="00B5194D">
        <w:t>tools and methods of agricultural extension adapted</w:t>
      </w:r>
      <w:r w:rsidRPr="007E5915">
        <w:t xml:space="preserve"> to each local context for achieving the set objectives. </w:t>
      </w:r>
      <w:r w:rsidR="00350559" w:rsidRPr="007E5915">
        <w:t xml:space="preserve">Experiences of other developing countries such as Kenya, </w:t>
      </w:r>
      <w:r w:rsidR="00196CEC" w:rsidRPr="007E5915">
        <w:t xml:space="preserve">Uganda, and India </w:t>
      </w:r>
      <w:r w:rsidR="00350559" w:rsidRPr="007E5915">
        <w:t xml:space="preserve">would </w:t>
      </w:r>
      <w:r w:rsidRPr="007E5915">
        <w:t xml:space="preserve">also </w:t>
      </w:r>
      <w:r w:rsidR="00350559" w:rsidRPr="007E5915">
        <w:t xml:space="preserve">be an asset. </w:t>
      </w:r>
    </w:p>
    <w:sectPr w:rsidR="00350559" w:rsidRPr="00B51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BC" w:rsidRDefault="001E0FBC" w:rsidP="00863B0F">
      <w:pPr>
        <w:spacing w:before="0" w:after="0"/>
      </w:pPr>
      <w:r>
        <w:separator/>
      </w:r>
    </w:p>
  </w:endnote>
  <w:endnote w:type="continuationSeparator" w:id="0">
    <w:p w:rsidR="001E0FBC" w:rsidRDefault="001E0FBC" w:rsidP="00863B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yriadPro-Bol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BC" w:rsidRDefault="001E0FBC" w:rsidP="00863B0F">
      <w:pPr>
        <w:spacing w:before="0" w:after="0"/>
      </w:pPr>
      <w:r>
        <w:separator/>
      </w:r>
    </w:p>
  </w:footnote>
  <w:footnote w:type="continuationSeparator" w:id="0">
    <w:p w:rsidR="001E0FBC" w:rsidRDefault="001E0FBC" w:rsidP="00863B0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1DF"/>
    <w:multiLevelType w:val="hybridMultilevel"/>
    <w:tmpl w:val="DC10F25E"/>
    <w:lvl w:ilvl="0" w:tplc="898A18A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123189"/>
    <w:multiLevelType w:val="hybridMultilevel"/>
    <w:tmpl w:val="B0C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3203E"/>
    <w:multiLevelType w:val="hybridMultilevel"/>
    <w:tmpl w:val="65A4D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253EC"/>
    <w:multiLevelType w:val="hybridMultilevel"/>
    <w:tmpl w:val="BC06A476"/>
    <w:lvl w:ilvl="0" w:tplc="74988414">
      <w:start w:val="1"/>
      <w:numFmt w:val="bullet"/>
      <w:lvlText w:val=""/>
      <w:lvlJc w:val="left"/>
      <w:pPr>
        <w:ind w:left="775" w:hanging="360"/>
      </w:pPr>
      <w:rPr>
        <w:rFonts w:ascii="Wingdings 2" w:hAnsi="Wingdings 2"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39D2746C"/>
    <w:multiLevelType w:val="hybridMultilevel"/>
    <w:tmpl w:val="4044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2350F"/>
    <w:multiLevelType w:val="hybridMultilevel"/>
    <w:tmpl w:val="7026E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81A35"/>
    <w:multiLevelType w:val="hybridMultilevel"/>
    <w:tmpl w:val="989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E417A"/>
    <w:multiLevelType w:val="hybridMultilevel"/>
    <w:tmpl w:val="D122A0D6"/>
    <w:lvl w:ilvl="0" w:tplc="749884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16969"/>
    <w:multiLevelType w:val="hybridMultilevel"/>
    <w:tmpl w:val="54605B6C"/>
    <w:lvl w:ilvl="0" w:tplc="749884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D51AA"/>
    <w:multiLevelType w:val="hybridMultilevel"/>
    <w:tmpl w:val="52120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F0EBA"/>
    <w:multiLevelType w:val="hybridMultilevel"/>
    <w:tmpl w:val="2ED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E24EC"/>
    <w:multiLevelType w:val="hybridMultilevel"/>
    <w:tmpl w:val="77268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F6717"/>
    <w:multiLevelType w:val="hybridMultilevel"/>
    <w:tmpl w:val="36DCE8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9"/>
  </w:num>
  <w:num w:numId="6">
    <w:abstractNumId w:val="11"/>
  </w:num>
  <w:num w:numId="7">
    <w:abstractNumId w:val="5"/>
  </w:num>
  <w:num w:numId="8">
    <w:abstractNumId w:val="2"/>
  </w:num>
  <w:num w:numId="9">
    <w:abstractNumId w:val="0"/>
  </w:num>
  <w:num w:numId="10">
    <w:abstractNumId w:val="10"/>
  </w:num>
  <w:num w:numId="11">
    <w:abstractNumId w:val="4"/>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4F"/>
    <w:rsid w:val="0009021B"/>
    <w:rsid w:val="000C0A48"/>
    <w:rsid w:val="000F60D6"/>
    <w:rsid w:val="001163F6"/>
    <w:rsid w:val="00157687"/>
    <w:rsid w:val="00174876"/>
    <w:rsid w:val="00196CEC"/>
    <w:rsid w:val="001B1707"/>
    <w:rsid w:val="001C1B41"/>
    <w:rsid w:val="001C4EDE"/>
    <w:rsid w:val="001C5B80"/>
    <w:rsid w:val="001E0FBC"/>
    <w:rsid w:val="001F0269"/>
    <w:rsid w:val="001F0323"/>
    <w:rsid w:val="00227659"/>
    <w:rsid w:val="00254A50"/>
    <w:rsid w:val="002674F5"/>
    <w:rsid w:val="00273A9E"/>
    <w:rsid w:val="00275732"/>
    <w:rsid w:val="002930E2"/>
    <w:rsid w:val="00297EE3"/>
    <w:rsid w:val="002A4603"/>
    <w:rsid w:val="002F4E97"/>
    <w:rsid w:val="0030692B"/>
    <w:rsid w:val="003267C8"/>
    <w:rsid w:val="00327FDB"/>
    <w:rsid w:val="00350559"/>
    <w:rsid w:val="003651DE"/>
    <w:rsid w:val="00366C00"/>
    <w:rsid w:val="00367601"/>
    <w:rsid w:val="00385F07"/>
    <w:rsid w:val="003A1AE9"/>
    <w:rsid w:val="003C75EC"/>
    <w:rsid w:val="003D73CF"/>
    <w:rsid w:val="0041185F"/>
    <w:rsid w:val="00412FEB"/>
    <w:rsid w:val="00487E04"/>
    <w:rsid w:val="004A7268"/>
    <w:rsid w:val="004E45DA"/>
    <w:rsid w:val="004F77AB"/>
    <w:rsid w:val="00532B5D"/>
    <w:rsid w:val="00536F5E"/>
    <w:rsid w:val="005C1676"/>
    <w:rsid w:val="005D3423"/>
    <w:rsid w:val="005E06A9"/>
    <w:rsid w:val="00621A5E"/>
    <w:rsid w:val="006258B1"/>
    <w:rsid w:val="00632FC6"/>
    <w:rsid w:val="00640FF6"/>
    <w:rsid w:val="006460DF"/>
    <w:rsid w:val="00667A54"/>
    <w:rsid w:val="00672217"/>
    <w:rsid w:val="006725BE"/>
    <w:rsid w:val="00673D53"/>
    <w:rsid w:val="00675684"/>
    <w:rsid w:val="0068353F"/>
    <w:rsid w:val="00693B4A"/>
    <w:rsid w:val="00694BBE"/>
    <w:rsid w:val="006B6E73"/>
    <w:rsid w:val="006C5EC2"/>
    <w:rsid w:val="006E1004"/>
    <w:rsid w:val="006E7FFC"/>
    <w:rsid w:val="007001EA"/>
    <w:rsid w:val="00714323"/>
    <w:rsid w:val="00773F12"/>
    <w:rsid w:val="00780067"/>
    <w:rsid w:val="00780E57"/>
    <w:rsid w:val="007B1BC4"/>
    <w:rsid w:val="007B5C7F"/>
    <w:rsid w:val="007E5915"/>
    <w:rsid w:val="007F30E7"/>
    <w:rsid w:val="00802F81"/>
    <w:rsid w:val="00815414"/>
    <w:rsid w:val="00863B0F"/>
    <w:rsid w:val="008862F6"/>
    <w:rsid w:val="008E210A"/>
    <w:rsid w:val="00905940"/>
    <w:rsid w:val="009437C7"/>
    <w:rsid w:val="009637E1"/>
    <w:rsid w:val="009778DA"/>
    <w:rsid w:val="00987EBF"/>
    <w:rsid w:val="00990DBC"/>
    <w:rsid w:val="009B18F1"/>
    <w:rsid w:val="009D05C1"/>
    <w:rsid w:val="00A0536C"/>
    <w:rsid w:val="00A12D1B"/>
    <w:rsid w:val="00A24C3D"/>
    <w:rsid w:val="00A37EBE"/>
    <w:rsid w:val="00A44EB3"/>
    <w:rsid w:val="00A86BCD"/>
    <w:rsid w:val="00AA030F"/>
    <w:rsid w:val="00AC69F8"/>
    <w:rsid w:val="00AC75DD"/>
    <w:rsid w:val="00AE56C9"/>
    <w:rsid w:val="00B52C9D"/>
    <w:rsid w:val="00B54329"/>
    <w:rsid w:val="00B656A6"/>
    <w:rsid w:val="00B75D6B"/>
    <w:rsid w:val="00B81A81"/>
    <w:rsid w:val="00B90A8F"/>
    <w:rsid w:val="00BA0FC8"/>
    <w:rsid w:val="00BB6DFF"/>
    <w:rsid w:val="00BE2894"/>
    <w:rsid w:val="00C168FE"/>
    <w:rsid w:val="00C17E7C"/>
    <w:rsid w:val="00C201EB"/>
    <w:rsid w:val="00C257F8"/>
    <w:rsid w:val="00C3459B"/>
    <w:rsid w:val="00C62659"/>
    <w:rsid w:val="00C8554F"/>
    <w:rsid w:val="00C92D0A"/>
    <w:rsid w:val="00CB51FB"/>
    <w:rsid w:val="00CD37CF"/>
    <w:rsid w:val="00D04025"/>
    <w:rsid w:val="00D1245A"/>
    <w:rsid w:val="00D22DF8"/>
    <w:rsid w:val="00D43F96"/>
    <w:rsid w:val="00D441C7"/>
    <w:rsid w:val="00D6296B"/>
    <w:rsid w:val="00D75D12"/>
    <w:rsid w:val="00DA4FDB"/>
    <w:rsid w:val="00DB1CC6"/>
    <w:rsid w:val="00DB3327"/>
    <w:rsid w:val="00DE18EF"/>
    <w:rsid w:val="00DF2E19"/>
    <w:rsid w:val="00E02566"/>
    <w:rsid w:val="00E43DC9"/>
    <w:rsid w:val="00E50D83"/>
    <w:rsid w:val="00E72AB7"/>
    <w:rsid w:val="00E8187B"/>
    <w:rsid w:val="00E92C9A"/>
    <w:rsid w:val="00E9766B"/>
    <w:rsid w:val="00ED716E"/>
    <w:rsid w:val="00F32BAD"/>
    <w:rsid w:val="00F84ADA"/>
    <w:rsid w:val="00F965DD"/>
    <w:rsid w:val="00FB7696"/>
    <w:rsid w:val="00FC4E82"/>
    <w:rsid w:val="00FD2E2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87"/>
    <w:pPr>
      <w:spacing w:before="120"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863B0F"/>
    <w:rPr>
      <w:vertAlign w:val="superscript"/>
    </w:rPr>
  </w:style>
  <w:style w:type="paragraph" w:styleId="ListParagraph">
    <w:name w:val="List Paragraph"/>
    <w:basedOn w:val="Normal"/>
    <w:uiPriority w:val="34"/>
    <w:qFormat/>
    <w:rsid w:val="00AC75DD"/>
    <w:pPr>
      <w:spacing w:before="0" w:after="0"/>
      <w:ind w:left="720"/>
      <w:contextualSpacing/>
    </w:pPr>
  </w:style>
  <w:style w:type="paragraph" w:styleId="NormalWeb">
    <w:name w:val="Normal (Web)"/>
    <w:basedOn w:val="Normal"/>
    <w:uiPriority w:val="99"/>
    <w:unhideWhenUsed/>
    <w:rsid w:val="007E59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87"/>
    <w:pPr>
      <w:spacing w:before="120" w:after="12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863B0F"/>
    <w:rPr>
      <w:vertAlign w:val="superscript"/>
    </w:rPr>
  </w:style>
  <w:style w:type="paragraph" w:styleId="ListParagraph">
    <w:name w:val="List Paragraph"/>
    <w:basedOn w:val="Normal"/>
    <w:uiPriority w:val="34"/>
    <w:qFormat/>
    <w:rsid w:val="00AC75DD"/>
    <w:pPr>
      <w:spacing w:before="0" w:after="0"/>
      <w:ind w:left="720"/>
      <w:contextualSpacing/>
    </w:pPr>
  </w:style>
  <w:style w:type="paragraph" w:styleId="NormalWeb">
    <w:name w:val="Normal (Web)"/>
    <w:basedOn w:val="Normal"/>
    <w:uiPriority w:val="99"/>
    <w:unhideWhenUsed/>
    <w:rsid w:val="007E59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650">
      <w:bodyDiv w:val="1"/>
      <w:marLeft w:val="0"/>
      <w:marRight w:val="0"/>
      <w:marTop w:val="0"/>
      <w:marBottom w:val="0"/>
      <w:divBdr>
        <w:top w:val="none" w:sz="0" w:space="0" w:color="auto"/>
        <w:left w:val="none" w:sz="0" w:space="0" w:color="auto"/>
        <w:bottom w:val="none" w:sz="0" w:space="0" w:color="auto"/>
        <w:right w:val="none" w:sz="0" w:space="0" w:color="auto"/>
      </w:divBdr>
    </w:div>
    <w:div w:id="209808171">
      <w:bodyDiv w:val="1"/>
      <w:marLeft w:val="0"/>
      <w:marRight w:val="0"/>
      <w:marTop w:val="0"/>
      <w:marBottom w:val="0"/>
      <w:divBdr>
        <w:top w:val="none" w:sz="0" w:space="0" w:color="auto"/>
        <w:left w:val="none" w:sz="0" w:space="0" w:color="auto"/>
        <w:bottom w:val="none" w:sz="0" w:space="0" w:color="auto"/>
        <w:right w:val="none" w:sz="0" w:space="0" w:color="auto"/>
      </w:divBdr>
    </w:div>
    <w:div w:id="225186728">
      <w:bodyDiv w:val="1"/>
      <w:marLeft w:val="0"/>
      <w:marRight w:val="0"/>
      <w:marTop w:val="0"/>
      <w:marBottom w:val="0"/>
      <w:divBdr>
        <w:top w:val="none" w:sz="0" w:space="0" w:color="auto"/>
        <w:left w:val="none" w:sz="0" w:space="0" w:color="auto"/>
        <w:bottom w:val="none" w:sz="0" w:space="0" w:color="auto"/>
        <w:right w:val="none" w:sz="0" w:space="0" w:color="auto"/>
      </w:divBdr>
    </w:div>
    <w:div w:id="281958534">
      <w:bodyDiv w:val="1"/>
      <w:marLeft w:val="5"/>
      <w:marRight w:val="15"/>
      <w:marTop w:val="0"/>
      <w:marBottom w:val="0"/>
      <w:divBdr>
        <w:top w:val="none" w:sz="0" w:space="0" w:color="auto"/>
        <w:left w:val="none" w:sz="0" w:space="0" w:color="auto"/>
        <w:bottom w:val="none" w:sz="0" w:space="0" w:color="auto"/>
        <w:right w:val="none" w:sz="0" w:space="0" w:color="auto"/>
      </w:divBdr>
    </w:div>
    <w:div w:id="302587878">
      <w:bodyDiv w:val="1"/>
      <w:marLeft w:val="0"/>
      <w:marRight w:val="0"/>
      <w:marTop w:val="0"/>
      <w:marBottom w:val="0"/>
      <w:divBdr>
        <w:top w:val="none" w:sz="0" w:space="0" w:color="auto"/>
        <w:left w:val="none" w:sz="0" w:space="0" w:color="auto"/>
        <w:bottom w:val="none" w:sz="0" w:space="0" w:color="auto"/>
        <w:right w:val="none" w:sz="0" w:space="0" w:color="auto"/>
      </w:divBdr>
    </w:div>
    <w:div w:id="304509926">
      <w:bodyDiv w:val="1"/>
      <w:marLeft w:val="0"/>
      <w:marRight w:val="0"/>
      <w:marTop w:val="0"/>
      <w:marBottom w:val="0"/>
      <w:divBdr>
        <w:top w:val="none" w:sz="0" w:space="0" w:color="auto"/>
        <w:left w:val="none" w:sz="0" w:space="0" w:color="auto"/>
        <w:bottom w:val="none" w:sz="0" w:space="0" w:color="auto"/>
        <w:right w:val="none" w:sz="0" w:space="0" w:color="auto"/>
      </w:divBdr>
    </w:div>
    <w:div w:id="431123219">
      <w:bodyDiv w:val="1"/>
      <w:marLeft w:val="0"/>
      <w:marRight w:val="0"/>
      <w:marTop w:val="0"/>
      <w:marBottom w:val="0"/>
      <w:divBdr>
        <w:top w:val="none" w:sz="0" w:space="0" w:color="auto"/>
        <w:left w:val="none" w:sz="0" w:space="0" w:color="auto"/>
        <w:bottom w:val="none" w:sz="0" w:space="0" w:color="auto"/>
        <w:right w:val="none" w:sz="0" w:space="0" w:color="auto"/>
      </w:divBdr>
    </w:div>
    <w:div w:id="1108354287">
      <w:bodyDiv w:val="1"/>
      <w:marLeft w:val="0"/>
      <w:marRight w:val="0"/>
      <w:marTop w:val="0"/>
      <w:marBottom w:val="0"/>
      <w:divBdr>
        <w:top w:val="none" w:sz="0" w:space="0" w:color="auto"/>
        <w:left w:val="none" w:sz="0" w:space="0" w:color="auto"/>
        <w:bottom w:val="none" w:sz="0" w:space="0" w:color="auto"/>
        <w:right w:val="none" w:sz="0" w:space="0" w:color="auto"/>
      </w:divBdr>
    </w:div>
    <w:div w:id="1524592179">
      <w:bodyDiv w:val="1"/>
      <w:marLeft w:val="0"/>
      <w:marRight w:val="0"/>
      <w:marTop w:val="0"/>
      <w:marBottom w:val="0"/>
      <w:divBdr>
        <w:top w:val="none" w:sz="0" w:space="0" w:color="auto"/>
        <w:left w:val="none" w:sz="0" w:space="0" w:color="auto"/>
        <w:bottom w:val="none" w:sz="0" w:space="0" w:color="auto"/>
        <w:right w:val="none" w:sz="0" w:space="0" w:color="auto"/>
      </w:divBdr>
    </w:div>
    <w:div w:id="18240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JRANDRIAMAMONJY</dc:creator>
  <cp:lastModifiedBy>Ragasa, Catherine (IFPRI)</cp:lastModifiedBy>
  <cp:revision>2</cp:revision>
  <dcterms:created xsi:type="dcterms:W3CDTF">2012-11-15T18:06:00Z</dcterms:created>
  <dcterms:modified xsi:type="dcterms:W3CDTF">2012-11-15T18:06:00Z</dcterms:modified>
</cp:coreProperties>
</file>