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Layout w:type="fixed"/>
        <w:tblLook w:val="04A0" w:firstRow="1" w:lastRow="0" w:firstColumn="1" w:lastColumn="0" w:noHBand="0" w:noVBand="1"/>
      </w:tblPr>
      <w:tblGrid>
        <w:gridCol w:w="2700"/>
        <w:gridCol w:w="4770"/>
        <w:gridCol w:w="2790"/>
      </w:tblGrid>
      <w:tr w:rsidR="0010010D" w:rsidTr="00EC07F2">
        <w:trPr>
          <w:trHeight w:val="2160"/>
        </w:trPr>
        <w:tc>
          <w:tcPr>
            <w:tcW w:w="2700" w:type="dxa"/>
          </w:tcPr>
          <w:p w:rsidR="0010010D" w:rsidRDefault="00157D3B" w:rsidP="00EC07F2">
            <w:pPr>
              <w:jc w:val="center"/>
            </w:pPr>
            <w:bookmarkStart w:id="0" w:name="_GoBack"/>
            <w:bookmarkEnd w:id="0"/>
            <w:r>
              <w:rPr>
                <w:noProof/>
              </w:rPr>
              <w:drawing>
                <wp:inline distT="0" distB="0" distL="0" distR="0">
                  <wp:extent cx="1672590" cy="1774825"/>
                  <wp:effectExtent l="0" t="0" r="3810" b="0"/>
                  <wp:docPr id="1" name="Picture 1" descr="D:\SBA 12\My Pictures\Coat_of_arms_of_Lib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BA 12\My Pictures\Coat_of_arms_of_Liberi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590" cy="1774825"/>
                          </a:xfrm>
                          <a:prstGeom prst="rect">
                            <a:avLst/>
                          </a:prstGeom>
                          <a:noFill/>
                          <a:ln>
                            <a:noFill/>
                          </a:ln>
                        </pic:spPr>
                      </pic:pic>
                    </a:graphicData>
                  </a:graphic>
                </wp:inline>
              </w:drawing>
            </w:r>
          </w:p>
        </w:tc>
        <w:tc>
          <w:tcPr>
            <w:tcW w:w="4770" w:type="dxa"/>
          </w:tcPr>
          <w:p w:rsidR="00220902" w:rsidRPr="00EC07F2" w:rsidRDefault="00220902" w:rsidP="00EC07F2">
            <w:pPr>
              <w:jc w:val="center"/>
              <w:rPr>
                <w:b/>
                <w:sz w:val="16"/>
                <w:szCs w:val="16"/>
              </w:rPr>
            </w:pPr>
          </w:p>
          <w:p w:rsidR="0010010D" w:rsidRPr="00EC07F2" w:rsidRDefault="0010010D" w:rsidP="00EC07F2">
            <w:pPr>
              <w:jc w:val="center"/>
              <w:rPr>
                <w:b/>
                <w:sz w:val="52"/>
                <w:szCs w:val="52"/>
              </w:rPr>
            </w:pPr>
            <w:r w:rsidRPr="00EC07F2">
              <w:rPr>
                <w:b/>
                <w:sz w:val="52"/>
                <w:szCs w:val="52"/>
              </w:rPr>
              <w:t>Republic of Liberia</w:t>
            </w:r>
          </w:p>
          <w:p w:rsidR="0010010D" w:rsidRPr="00EC07F2" w:rsidRDefault="0010010D" w:rsidP="00EC07F2">
            <w:pPr>
              <w:spacing w:after="0" w:line="240" w:lineRule="auto"/>
              <w:jc w:val="center"/>
              <w:rPr>
                <w:b/>
                <w:sz w:val="48"/>
                <w:szCs w:val="48"/>
              </w:rPr>
            </w:pPr>
            <w:r w:rsidRPr="00EC07F2">
              <w:rPr>
                <w:b/>
                <w:sz w:val="48"/>
                <w:szCs w:val="48"/>
              </w:rPr>
              <w:t>Ministry of</w:t>
            </w:r>
            <w:r w:rsidR="00220902" w:rsidRPr="00EC07F2">
              <w:rPr>
                <w:b/>
                <w:sz w:val="48"/>
                <w:szCs w:val="48"/>
              </w:rPr>
              <w:t xml:space="preserve"> </w:t>
            </w:r>
            <w:r w:rsidRPr="00EC07F2">
              <w:rPr>
                <w:b/>
                <w:sz w:val="48"/>
                <w:szCs w:val="48"/>
              </w:rPr>
              <w:t>Agriculture</w:t>
            </w:r>
          </w:p>
        </w:tc>
        <w:tc>
          <w:tcPr>
            <w:tcW w:w="2790" w:type="dxa"/>
          </w:tcPr>
          <w:p w:rsidR="0010010D" w:rsidRDefault="00157D3B" w:rsidP="00EC07F2">
            <w:pPr>
              <w:jc w:val="center"/>
            </w:pPr>
            <w:r>
              <w:rPr>
                <w:noProof/>
              </w:rPr>
              <w:drawing>
                <wp:inline distT="0" distB="0" distL="0" distR="0">
                  <wp:extent cx="1882775" cy="1579245"/>
                  <wp:effectExtent l="0" t="0" r="317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775" cy="1579245"/>
                          </a:xfrm>
                          <a:prstGeom prst="rect">
                            <a:avLst/>
                          </a:prstGeom>
                          <a:noFill/>
                          <a:ln>
                            <a:noFill/>
                          </a:ln>
                        </pic:spPr>
                      </pic:pic>
                    </a:graphicData>
                  </a:graphic>
                </wp:inline>
              </w:drawing>
            </w:r>
          </w:p>
        </w:tc>
      </w:tr>
    </w:tbl>
    <w:p w:rsidR="0010010D" w:rsidRDefault="0010010D" w:rsidP="000510C3">
      <w:pPr>
        <w:jc w:val="center"/>
      </w:pPr>
    </w:p>
    <w:p w:rsidR="000510C3" w:rsidRDefault="00157D3B" w:rsidP="000510C3">
      <w:pPr>
        <w:jc w:val="center"/>
      </w:pPr>
      <w:r>
        <w:rPr>
          <w:noProof/>
        </w:rPr>
        <w:drawing>
          <wp:inline distT="0" distB="0" distL="0" distR="0">
            <wp:extent cx="5354320" cy="3349625"/>
            <wp:effectExtent l="0" t="0" r="0" b="3175"/>
            <wp:docPr id="3" name="Picture 1" descr="C:\Users\a\Desktop\BRAC\PICT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BRAC\PICT04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4320" cy="3349625"/>
                    </a:xfrm>
                    <a:prstGeom prst="rect">
                      <a:avLst/>
                    </a:prstGeom>
                    <a:noFill/>
                    <a:ln>
                      <a:noFill/>
                    </a:ln>
                  </pic:spPr>
                </pic:pic>
              </a:graphicData>
            </a:graphic>
          </wp:inline>
        </w:drawing>
      </w:r>
    </w:p>
    <w:p w:rsidR="006C0871" w:rsidRDefault="006C0871" w:rsidP="000510C3">
      <w:pPr>
        <w:jc w:val="center"/>
      </w:pPr>
    </w:p>
    <w:p w:rsidR="004E0A2F" w:rsidRDefault="004E0A2F" w:rsidP="00F44FE6">
      <w:pPr>
        <w:spacing w:after="0" w:line="240" w:lineRule="auto"/>
        <w:jc w:val="center"/>
        <w:rPr>
          <w:b/>
          <w:sz w:val="52"/>
          <w:szCs w:val="52"/>
        </w:rPr>
      </w:pPr>
      <w:r>
        <w:rPr>
          <w:b/>
          <w:sz w:val="52"/>
          <w:szCs w:val="52"/>
        </w:rPr>
        <w:t xml:space="preserve">NATIONAL </w:t>
      </w:r>
      <w:r w:rsidR="000510C3" w:rsidRPr="000510C3">
        <w:rPr>
          <w:b/>
          <w:sz w:val="52"/>
          <w:szCs w:val="52"/>
        </w:rPr>
        <w:t xml:space="preserve">POLICY FOR </w:t>
      </w:r>
    </w:p>
    <w:p w:rsidR="000510C3" w:rsidRDefault="008A1BC6" w:rsidP="00F44FE6">
      <w:pPr>
        <w:spacing w:after="0" w:line="240" w:lineRule="auto"/>
        <w:jc w:val="center"/>
        <w:rPr>
          <w:b/>
          <w:sz w:val="52"/>
          <w:szCs w:val="52"/>
        </w:rPr>
      </w:pPr>
      <w:r>
        <w:rPr>
          <w:b/>
          <w:sz w:val="52"/>
          <w:szCs w:val="52"/>
        </w:rPr>
        <w:t>AGRICULTURAL</w:t>
      </w:r>
      <w:r w:rsidR="00A71B53">
        <w:rPr>
          <w:b/>
          <w:sz w:val="52"/>
          <w:szCs w:val="52"/>
        </w:rPr>
        <w:t xml:space="preserve"> EXTENSION AND </w:t>
      </w:r>
      <w:r w:rsidR="000510C3" w:rsidRPr="000510C3">
        <w:rPr>
          <w:b/>
          <w:sz w:val="52"/>
          <w:szCs w:val="52"/>
        </w:rPr>
        <w:t xml:space="preserve">ADVISORY SERVICES </w:t>
      </w:r>
    </w:p>
    <w:p w:rsidR="004F63C7" w:rsidRPr="000510C3" w:rsidRDefault="004F63C7" w:rsidP="00F44FE6">
      <w:pPr>
        <w:spacing w:after="0" w:line="240" w:lineRule="auto"/>
        <w:jc w:val="center"/>
        <w:rPr>
          <w:b/>
          <w:sz w:val="52"/>
          <w:szCs w:val="52"/>
        </w:rPr>
      </w:pPr>
    </w:p>
    <w:p w:rsidR="00897BC5" w:rsidRDefault="004F63C7" w:rsidP="004F63C7">
      <w:pPr>
        <w:jc w:val="center"/>
        <w:rPr>
          <w:rFonts w:ascii="Times New Roman" w:hAnsi="Times New Roman"/>
          <w:b/>
        </w:rPr>
      </w:pPr>
      <w:r w:rsidRPr="004F63C7">
        <w:rPr>
          <w:rFonts w:cs="Arial"/>
          <w:b/>
          <w:sz w:val="36"/>
          <w:szCs w:val="36"/>
        </w:rPr>
        <w:t>July 2012</w:t>
      </w:r>
      <w:r w:rsidR="006D6EC6" w:rsidRPr="004F63C7">
        <w:rPr>
          <w:rFonts w:cs="Arial"/>
          <w:b/>
          <w:sz w:val="36"/>
          <w:szCs w:val="36"/>
        </w:rPr>
        <w:br w:type="page"/>
      </w:r>
      <w:bookmarkStart w:id="1" w:name="OLE_LINK1"/>
      <w:bookmarkStart w:id="2" w:name="OLE_LINK2"/>
      <w:r w:rsidR="00520CE6" w:rsidRPr="00B54214">
        <w:rPr>
          <w:rFonts w:ascii="Times New Roman" w:hAnsi="Times New Roman"/>
          <w:b/>
        </w:rPr>
        <w:lastRenderedPageBreak/>
        <w:t>TABLE OF CONTENTS</w:t>
      </w:r>
    </w:p>
    <w:p w:rsidR="00897BC5" w:rsidRDefault="00897BC5">
      <w:pPr>
        <w:spacing w:after="0" w:line="240" w:lineRule="auto"/>
        <w:jc w:val="center"/>
        <w:rPr>
          <w:rFonts w:ascii="Times New Roman" w:hAnsi="Times New Roman"/>
          <w:b/>
        </w:rPr>
      </w:pPr>
    </w:p>
    <w:p w:rsidR="00897BC5" w:rsidRDefault="00897BC5">
      <w:pPr>
        <w:spacing w:after="0" w:line="240" w:lineRule="auto"/>
        <w:jc w:val="center"/>
        <w:rPr>
          <w:rFonts w:ascii="Times New Roman" w:hAnsi="Times New Roman"/>
        </w:rPr>
      </w:pPr>
    </w:p>
    <w:p w:rsidR="009E13E4" w:rsidRDefault="009E13E4" w:rsidP="009E13E4">
      <w:pPr>
        <w:tabs>
          <w:tab w:val="right" w:leader="dot" w:pos="9360"/>
        </w:tabs>
        <w:spacing w:after="0" w:line="240" w:lineRule="auto"/>
        <w:rPr>
          <w:rFonts w:ascii="Times New Roman" w:hAnsi="Times New Roman"/>
        </w:rPr>
      </w:pPr>
      <w:r>
        <w:rPr>
          <w:rFonts w:ascii="Times New Roman" w:hAnsi="Times New Roman"/>
        </w:rPr>
        <w:t>Table of Contents</w:t>
      </w:r>
      <w:r>
        <w:rPr>
          <w:rFonts w:ascii="Times New Roman" w:hAnsi="Times New Roman"/>
        </w:rPr>
        <w:tab/>
        <w:t>i</w:t>
      </w:r>
      <w:r w:rsidR="00102EA7">
        <w:rPr>
          <w:rFonts w:ascii="Times New Roman" w:hAnsi="Times New Roman"/>
        </w:rPr>
        <w:t>i</w:t>
      </w:r>
    </w:p>
    <w:p w:rsidR="009E13E4" w:rsidRDefault="009E13E4" w:rsidP="009E2E38">
      <w:pPr>
        <w:tabs>
          <w:tab w:val="right" w:leader="dot" w:pos="9360"/>
        </w:tabs>
        <w:spacing w:after="0" w:line="240" w:lineRule="auto"/>
        <w:rPr>
          <w:rFonts w:ascii="Times New Roman" w:hAnsi="Times New Roman"/>
        </w:rPr>
      </w:pPr>
    </w:p>
    <w:p w:rsidR="009E2E38" w:rsidRPr="00B54214" w:rsidRDefault="00520CE6" w:rsidP="009E2E38">
      <w:pPr>
        <w:tabs>
          <w:tab w:val="right" w:leader="dot" w:pos="9360"/>
        </w:tabs>
        <w:spacing w:after="0" w:line="240" w:lineRule="auto"/>
        <w:rPr>
          <w:rFonts w:ascii="Times New Roman" w:hAnsi="Times New Roman"/>
        </w:rPr>
      </w:pPr>
      <w:r w:rsidRPr="00B54214">
        <w:rPr>
          <w:rFonts w:ascii="Times New Roman" w:hAnsi="Times New Roman"/>
        </w:rPr>
        <w:t>List of A</w:t>
      </w:r>
      <w:r w:rsidR="00575223" w:rsidRPr="00B54214">
        <w:rPr>
          <w:rFonts w:ascii="Times New Roman" w:hAnsi="Times New Roman"/>
        </w:rPr>
        <w:t>bbreviations and A</w:t>
      </w:r>
      <w:r w:rsidRPr="00B54214">
        <w:rPr>
          <w:rFonts w:ascii="Times New Roman" w:hAnsi="Times New Roman"/>
        </w:rPr>
        <w:t>cronyms</w:t>
      </w:r>
      <w:r w:rsidR="009E2E38" w:rsidRPr="00B54214">
        <w:rPr>
          <w:rFonts w:ascii="Times New Roman" w:hAnsi="Times New Roman"/>
        </w:rPr>
        <w:tab/>
        <w:t>iii</w:t>
      </w:r>
    </w:p>
    <w:p w:rsidR="00613A4C" w:rsidRPr="00B54214" w:rsidRDefault="00613A4C" w:rsidP="00613A4C">
      <w:pPr>
        <w:tabs>
          <w:tab w:val="left" w:pos="720"/>
          <w:tab w:val="left" w:pos="1440"/>
          <w:tab w:val="left" w:pos="2160"/>
        </w:tabs>
        <w:spacing w:after="0" w:line="240" w:lineRule="auto"/>
        <w:rPr>
          <w:rFonts w:ascii="Times New Roman" w:hAnsi="Times New Roman"/>
        </w:rPr>
      </w:pPr>
    </w:p>
    <w:p w:rsidR="009E2E38" w:rsidRPr="00B54214" w:rsidRDefault="003C0593" w:rsidP="009E2E38">
      <w:pPr>
        <w:tabs>
          <w:tab w:val="right" w:leader="dot" w:pos="9360"/>
        </w:tabs>
        <w:spacing w:after="0" w:line="240" w:lineRule="auto"/>
        <w:rPr>
          <w:rFonts w:ascii="Times New Roman" w:hAnsi="Times New Roman"/>
        </w:rPr>
      </w:pPr>
      <w:r>
        <w:rPr>
          <w:rFonts w:ascii="Times New Roman" w:hAnsi="Times New Roman"/>
        </w:rPr>
        <w:t>Forward</w:t>
      </w:r>
      <w:r w:rsidR="009E2E38" w:rsidRPr="00B54214">
        <w:rPr>
          <w:rFonts w:ascii="Times New Roman" w:hAnsi="Times New Roman"/>
        </w:rPr>
        <w:tab/>
      </w:r>
      <w:r w:rsidR="009E13E4">
        <w:rPr>
          <w:rFonts w:ascii="Times New Roman" w:hAnsi="Times New Roman"/>
        </w:rPr>
        <w:t>i</w:t>
      </w:r>
      <w:r w:rsidR="009E2E38" w:rsidRPr="00B54214">
        <w:rPr>
          <w:rFonts w:ascii="Times New Roman" w:hAnsi="Times New Roman"/>
        </w:rPr>
        <w:t>v</w:t>
      </w:r>
    </w:p>
    <w:p w:rsidR="009E2E38" w:rsidRPr="00B54214" w:rsidRDefault="009E2E38" w:rsidP="00613A4C">
      <w:pPr>
        <w:tabs>
          <w:tab w:val="left" w:pos="720"/>
          <w:tab w:val="left" w:pos="1440"/>
          <w:tab w:val="left" w:pos="2160"/>
        </w:tabs>
        <w:spacing w:after="0" w:line="240" w:lineRule="auto"/>
        <w:rPr>
          <w:rFonts w:ascii="Times New Roman" w:hAnsi="Times New Roman"/>
        </w:rPr>
      </w:pPr>
    </w:p>
    <w:p w:rsidR="00520CE6" w:rsidRPr="00B54214" w:rsidRDefault="003C0593" w:rsidP="009E2E38">
      <w:pPr>
        <w:tabs>
          <w:tab w:val="right" w:leader="dot" w:pos="9360"/>
        </w:tabs>
        <w:spacing w:after="0" w:line="240" w:lineRule="auto"/>
        <w:rPr>
          <w:rFonts w:ascii="Times New Roman" w:hAnsi="Times New Roman"/>
        </w:rPr>
      </w:pPr>
      <w:r>
        <w:rPr>
          <w:rFonts w:ascii="Times New Roman" w:hAnsi="Times New Roman"/>
        </w:rPr>
        <w:t>Acknowledgements</w:t>
      </w:r>
      <w:r w:rsidR="009E2E38" w:rsidRPr="00B54214">
        <w:rPr>
          <w:rFonts w:ascii="Times New Roman" w:hAnsi="Times New Roman"/>
        </w:rPr>
        <w:tab/>
        <w:t>v</w:t>
      </w:r>
    </w:p>
    <w:p w:rsidR="00613A4C" w:rsidRPr="00B54214" w:rsidRDefault="00613A4C" w:rsidP="00613A4C">
      <w:pPr>
        <w:tabs>
          <w:tab w:val="left" w:pos="720"/>
          <w:tab w:val="left" w:pos="1440"/>
          <w:tab w:val="left" w:pos="2160"/>
        </w:tabs>
        <w:spacing w:after="0" w:line="240" w:lineRule="auto"/>
        <w:rPr>
          <w:rFonts w:ascii="Times New Roman" w:hAnsi="Times New Roman"/>
        </w:rPr>
      </w:pPr>
    </w:p>
    <w:p w:rsidR="0000449D" w:rsidRDefault="00FE43B3" w:rsidP="00901028">
      <w:pPr>
        <w:tabs>
          <w:tab w:val="left" w:pos="720"/>
          <w:tab w:val="right" w:leader="dot" w:pos="9360"/>
        </w:tabs>
        <w:spacing w:after="0" w:line="240" w:lineRule="auto"/>
        <w:rPr>
          <w:rFonts w:ascii="Times New Roman" w:hAnsi="Times New Roman"/>
        </w:rPr>
      </w:pPr>
      <w:r w:rsidRPr="00B54214">
        <w:rPr>
          <w:rFonts w:ascii="Times New Roman" w:hAnsi="Times New Roman"/>
        </w:rPr>
        <w:t xml:space="preserve">1.0 </w:t>
      </w:r>
      <w:r w:rsidR="00901028" w:rsidRPr="00B54214">
        <w:rPr>
          <w:rFonts w:ascii="Times New Roman" w:hAnsi="Times New Roman"/>
        </w:rPr>
        <w:tab/>
      </w:r>
      <w:r w:rsidRPr="00B54214">
        <w:rPr>
          <w:rFonts w:ascii="Times New Roman" w:hAnsi="Times New Roman"/>
        </w:rPr>
        <w:t>Introduction</w:t>
      </w:r>
      <w:r w:rsidR="009E2E38" w:rsidRPr="00B54214">
        <w:rPr>
          <w:rFonts w:ascii="Times New Roman" w:hAnsi="Times New Roman"/>
        </w:rPr>
        <w:tab/>
      </w:r>
      <w:r w:rsidR="00901028" w:rsidRPr="00B54214">
        <w:rPr>
          <w:rFonts w:ascii="Times New Roman" w:hAnsi="Times New Roman"/>
        </w:rPr>
        <w:t>1</w:t>
      </w:r>
    </w:p>
    <w:p w:rsidR="001D2701" w:rsidRDefault="001D2701" w:rsidP="001D2701">
      <w:pPr>
        <w:tabs>
          <w:tab w:val="left" w:pos="720"/>
          <w:tab w:val="right" w:leader="dot" w:pos="9360"/>
        </w:tabs>
        <w:spacing w:after="0" w:line="240" w:lineRule="auto"/>
        <w:rPr>
          <w:rFonts w:ascii="Times New Roman" w:hAnsi="Times New Roman"/>
        </w:rPr>
      </w:pPr>
      <w:r>
        <w:rPr>
          <w:rFonts w:ascii="Times New Roman" w:hAnsi="Times New Roman"/>
        </w:rPr>
        <w:tab/>
      </w:r>
    </w:p>
    <w:p w:rsidR="0000449D" w:rsidRDefault="001D2701" w:rsidP="001D2701">
      <w:pPr>
        <w:tabs>
          <w:tab w:val="left" w:pos="720"/>
          <w:tab w:val="left" w:pos="1440"/>
          <w:tab w:val="right" w:leader="dot" w:pos="9360"/>
        </w:tabs>
        <w:spacing w:after="0" w:line="240" w:lineRule="auto"/>
        <w:rPr>
          <w:rFonts w:ascii="Times New Roman" w:hAnsi="Times New Roman"/>
          <w:bCs/>
        </w:rPr>
      </w:pPr>
      <w:r>
        <w:rPr>
          <w:rFonts w:ascii="Times New Roman" w:hAnsi="Times New Roman"/>
        </w:rPr>
        <w:tab/>
      </w:r>
      <w:r w:rsidR="009965E0">
        <w:rPr>
          <w:rFonts w:ascii="Times New Roman" w:hAnsi="Times New Roman"/>
          <w:bCs/>
        </w:rPr>
        <w:t>1.1</w:t>
      </w:r>
      <w:r>
        <w:rPr>
          <w:rFonts w:ascii="Times New Roman" w:hAnsi="Times New Roman"/>
          <w:bCs/>
        </w:rPr>
        <w:tab/>
      </w:r>
      <w:r w:rsidR="00006FA7">
        <w:rPr>
          <w:rFonts w:ascii="Times New Roman" w:hAnsi="Times New Roman"/>
          <w:bCs/>
        </w:rPr>
        <w:t>Current Status of Extension Services in Liberia</w:t>
      </w:r>
      <w:r w:rsidR="006C0871">
        <w:rPr>
          <w:rFonts w:ascii="Times New Roman" w:hAnsi="Times New Roman"/>
          <w:bCs/>
        </w:rPr>
        <w:tab/>
        <w:t>2</w:t>
      </w:r>
    </w:p>
    <w:p w:rsidR="007265AB" w:rsidRPr="001D2701" w:rsidRDefault="007265AB" w:rsidP="001D2701">
      <w:pPr>
        <w:tabs>
          <w:tab w:val="left" w:pos="720"/>
          <w:tab w:val="left" w:pos="1440"/>
          <w:tab w:val="right" w:leader="dot" w:pos="9360"/>
        </w:tabs>
        <w:spacing w:after="0" w:line="240" w:lineRule="auto"/>
        <w:rPr>
          <w:rFonts w:ascii="Times New Roman" w:hAnsi="Times New Roman"/>
        </w:rPr>
      </w:pPr>
      <w:r>
        <w:rPr>
          <w:rFonts w:ascii="Times New Roman" w:hAnsi="Times New Roman"/>
          <w:bCs/>
        </w:rPr>
        <w:tab/>
      </w:r>
      <w:r w:rsidR="00006FA7">
        <w:rPr>
          <w:rFonts w:ascii="Times New Roman" w:hAnsi="Times New Roman"/>
          <w:bCs/>
        </w:rPr>
        <w:t>1.2</w:t>
      </w:r>
      <w:r w:rsidR="00006FA7">
        <w:rPr>
          <w:rFonts w:ascii="Times New Roman" w:hAnsi="Times New Roman"/>
          <w:bCs/>
        </w:rPr>
        <w:tab/>
        <w:t>Definitions</w:t>
      </w:r>
      <w:r w:rsidR="006C0871">
        <w:rPr>
          <w:rFonts w:ascii="Times New Roman" w:hAnsi="Times New Roman"/>
          <w:bCs/>
        </w:rPr>
        <w:tab/>
        <w:t>3</w:t>
      </w:r>
    </w:p>
    <w:p w:rsidR="0000449D" w:rsidRPr="00B54214" w:rsidRDefault="0023452F" w:rsidP="00613A4C">
      <w:pPr>
        <w:pStyle w:val="Pa1"/>
        <w:tabs>
          <w:tab w:val="left" w:pos="720"/>
          <w:tab w:val="left" w:pos="1440"/>
          <w:tab w:val="left" w:pos="2160"/>
        </w:tabs>
        <w:spacing w:line="240" w:lineRule="auto"/>
        <w:jc w:val="both"/>
        <w:rPr>
          <w:rFonts w:ascii="Times New Roman" w:hAnsi="Times New Roman" w:cs="Times New Roman"/>
          <w:bCs/>
          <w:sz w:val="22"/>
          <w:szCs w:val="22"/>
        </w:rPr>
      </w:pPr>
      <w:r w:rsidRPr="00B54214">
        <w:rPr>
          <w:rFonts w:ascii="Times New Roman" w:hAnsi="Times New Roman" w:cs="Times New Roman"/>
          <w:bCs/>
          <w:sz w:val="22"/>
          <w:szCs w:val="22"/>
        </w:rPr>
        <w:tab/>
      </w:r>
    </w:p>
    <w:p w:rsidR="0000449D" w:rsidRPr="00B54214" w:rsidRDefault="00FE43B3" w:rsidP="00901028">
      <w:pPr>
        <w:tabs>
          <w:tab w:val="right" w:leader="dot" w:pos="9360"/>
        </w:tabs>
        <w:spacing w:after="0" w:line="240" w:lineRule="auto"/>
        <w:ind w:left="720" w:hanging="720"/>
        <w:rPr>
          <w:rFonts w:ascii="Times New Roman" w:hAnsi="Times New Roman"/>
          <w:lang w:val="en-GB"/>
        </w:rPr>
      </w:pPr>
      <w:r w:rsidRPr="00B54214">
        <w:rPr>
          <w:rFonts w:ascii="Times New Roman" w:hAnsi="Times New Roman"/>
        </w:rPr>
        <w:t xml:space="preserve">2.0 </w:t>
      </w:r>
      <w:r w:rsidR="00EA6523" w:rsidRPr="00B54214">
        <w:rPr>
          <w:rFonts w:ascii="Times New Roman" w:hAnsi="Times New Roman"/>
        </w:rPr>
        <w:tab/>
        <w:t xml:space="preserve">Liberia’s National </w:t>
      </w:r>
      <w:r w:rsidR="008D5ECD">
        <w:rPr>
          <w:rFonts w:ascii="Times New Roman" w:hAnsi="Times New Roman"/>
        </w:rPr>
        <w:t xml:space="preserve">Policy for </w:t>
      </w:r>
      <w:r w:rsidR="0000449D" w:rsidRPr="00B54214">
        <w:rPr>
          <w:rFonts w:ascii="Times New Roman" w:hAnsi="Times New Roman"/>
        </w:rPr>
        <w:t>Agricultural</w:t>
      </w:r>
      <w:r w:rsidR="00EA6523" w:rsidRPr="00B54214">
        <w:rPr>
          <w:rFonts w:ascii="Times New Roman" w:hAnsi="Times New Roman"/>
        </w:rPr>
        <w:t xml:space="preserve"> Extension and</w:t>
      </w:r>
      <w:r w:rsidR="00901028" w:rsidRPr="00B54214">
        <w:rPr>
          <w:rFonts w:ascii="Times New Roman" w:hAnsi="Times New Roman"/>
        </w:rPr>
        <w:t xml:space="preserve"> Advisory </w:t>
      </w:r>
      <w:r w:rsidR="0000449D" w:rsidRPr="00B54214">
        <w:rPr>
          <w:rFonts w:ascii="Times New Roman" w:hAnsi="Times New Roman"/>
        </w:rPr>
        <w:t>Services</w:t>
      </w:r>
      <w:r w:rsidR="00DA0608">
        <w:rPr>
          <w:rFonts w:ascii="Times New Roman" w:hAnsi="Times New Roman"/>
        </w:rPr>
        <w:t xml:space="preserve"> (AEAS)</w:t>
      </w:r>
      <w:r w:rsidR="006C0871">
        <w:rPr>
          <w:rFonts w:ascii="Times New Roman" w:hAnsi="Times New Roman"/>
          <w:lang w:val="en-GB"/>
        </w:rPr>
        <w:tab/>
        <w:t>3</w:t>
      </w:r>
    </w:p>
    <w:p w:rsidR="0000449D" w:rsidRPr="00B54214" w:rsidRDefault="0000449D" w:rsidP="00613A4C">
      <w:pPr>
        <w:pStyle w:val="Pa1"/>
        <w:tabs>
          <w:tab w:val="left" w:pos="720"/>
          <w:tab w:val="left" w:pos="1440"/>
          <w:tab w:val="left" w:pos="2160"/>
        </w:tabs>
        <w:spacing w:line="240" w:lineRule="auto"/>
        <w:jc w:val="both"/>
        <w:rPr>
          <w:rFonts w:ascii="Times New Roman" w:hAnsi="Times New Roman" w:cs="Times New Roman"/>
          <w:sz w:val="22"/>
          <w:szCs w:val="22"/>
        </w:rPr>
      </w:pPr>
    </w:p>
    <w:p w:rsidR="00613A4C" w:rsidRPr="00B54214" w:rsidRDefault="00EA6523" w:rsidP="00901028">
      <w:pPr>
        <w:pStyle w:val="Pa1"/>
        <w:tabs>
          <w:tab w:val="left" w:pos="720"/>
          <w:tab w:val="left" w:pos="1440"/>
          <w:tab w:val="right" w:leader="dot" w:pos="9360"/>
        </w:tabs>
        <w:spacing w:line="240" w:lineRule="auto"/>
        <w:jc w:val="both"/>
        <w:rPr>
          <w:rFonts w:ascii="Times New Roman" w:hAnsi="Times New Roman" w:cs="Times New Roman"/>
          <w:sz w:val="22"/>
          <w:szCs w:val="22"/>
        </w:rPr>
      </w:pPr>
      <w:r w:rsidRPr="00B54214">
        <w:rPr>
          <w:rFonts w:ascii="Times New Roman" w:hAnsi="Times New Roman" w:cs="Times New Roman"/>
          <w:sz w:val="22"/>
          <w:szCs w:val="22"/>
        </w:rPr>
        <w:tab/>
      </w:r>
      <w:r w:rsidR="00FE43B3" w:rsidRPr="00B54214">
        <w:rPr>
          <w:rFonts w:ascii="Times New Roman" w:hAnsi="Times New Roman" w:cs="Times New Roman"/>
          <w:sz w:val="22"/>
          <w:szCs w:val="22"/>
        </w:rPr>
        <w:t>2.1</w:t>
      </w:r>
      <w:r w:rsidR="00B03535">
        <w:rPr>
          <w:rFonts w:ascii="Times New Roman" w:hAnsi="Times New Roman" w:cs="Times New Roman"/>
          <w:sz w:val="22"/>
          <w:szCs w:val="22"/>
        </w:rPr>
        <w:tab/>
        <w:t>Need</w:t>
      </w:r>
      <w:r w:rsidR="006C0871">
        <w:rPr>
          <w:rFonts w:ascii="Times New Roman" w:hAnsi="Times New Roman" w:cs="Times New Roman"/>
          <w:sz w:val="22"/>
          <w:szCs w:val="22"/>
        </w:rPr>
        <w:tab/>
        <w:t>3</w:t>
      </w:r>
    </w:p>
    <w:p w:rsidR="0000449D" w:rsidRPr="00B54214" w:rsidRDefault="00613A4C" w:rsidP="00901028">
      <w:pPr>
        <w:pStyle w:val="Pa1"/>
        <w:tabs>
          <w:tab w:val="left" w:pos="720"/>
          <w:tab w:val="left" w:pos="1440"/>
          <w:tab w:val="right" w:leader="dot" w:pos="9360"/>
        </w:tabs>
        <w:spacing w:line="240" w:lineRule="auto"/>
        <w:jc w:val="both"/>
        <w:rPr>
          <w:rFonts w:ascii="Times New Roman" w:hAnsi="Times New Roman" w:cs="Times New Roman"/>
          <w:sz w:val="22"/>
          <w:szCs w:val="22"/>
        </w:rPr>
      </w:pPr>
      <w:r w:rsidRPr="00B54214">
        <w:rPr>
          <w:rFonts w:ascii="Times New Roman" w:hAnsi="Times New Roman" w:cs="Times New Roman"/>
          <w:sz w:val="22"/>
          <w:szCs w:val="22"/>
        </w:rPr>
        <w:tab/>
        <w:t>2.2</w:t>
      </w:r>
      <w:r w:rsidRPr="00B54214">
        <w:rPr>
          <w:rFonts w:ascii="Times New Roman" w:hAnsi="Times New Roman" w:cs="Times New Roman"/>
          <w:sz w:val="22"/>
          <w:szCs w:val="22"/>
        </w:rPr>
        <w:tab/>
      </w:r>
      <w:r w:rsidR="00FE43B3" w:rsidRPr="00B54214">
        <w:rPr>
          <w:rFonts w:ascii="Times New Roman" w:hAnsi="Times New Roman" w:cs="Times New Roman"/>
          <w:sz w:val="22"/>
          <w:szCs w:val="22"/>
        </w:rPr>
        <w:t>Vision</w:t>
      </w:r>
      <w:r w:rsidR="00EA6523" w:rsidRPr="00B54214">
        <w:rPr>
          <w:rFonts w:ascii="Times New Roman" w:hAnsi="Times New Roman" w:cs="Times New Roman"/>
          <w:sz w:val="22"/>
          <w:szCs w:val="22"/>
        </w:rPr>
        <w:t xml:space="preserve"> </w:t>
      </w:r>
      <w:r w:rsidR="006C0871">
        <w:rPr>
          <w:rFonts w:ascii="Times New Roman" w:hAnsi="Times New Roman" w:cs="Times New Roman"/>
          <w:sz w:val="22"/>
          <w:szCs w:val="22"/>
        </w:rPr>
        <w:t>and Mission</w:t>
      </w:r>
      <w:r w:rsidR="006C0871">
        <w:rPr>
          <w:rFonts w:ascii="Times New Roman" w:hAnsi="Times New Roman" w:cs="Times New Roman"/>
          <w:sz w:val="22"/>
          <w:szCs w:val="22"/>
        </w:rPr>
        <w:tab/>
        <w:t>4</w:t>
      </w:r>
    </w:p>
    <w:p w:rsidR="00B03535" w:rsidRDefault="00613A4C" w:rsidP="00F91449">
      <w:pPr>
        <w:pStyle w:val="ListParagraph"/>
        <w:tabs>
          <w:tab w:val="left" w:pos="720"/>
          <w:tab w:val="left" w:pos="1440"/>
          <w:tab w:val="right" w:leader="dot" w:pos="9360"/>
        </w:tabs>
        <w:spacing w:after="0" w:line="240" w:lineRule="auto"/>
        <w:ind w:left="0"/>
        <w:rPr>
          <w:rFonts w:ascii="Times New Roman" w:hAnsi="Times New Roman"/>
        </w:rPr>
      </w:pPr>
      <w:r w:rsidRPr="00B54214">
        <w:rPr>
          <w:rFonts w:ascii="Times New Roman" w:hAnsi="Times New Roman"/>
        </w:rPr>
        <w:tab/>
      </w:r>
    </w:p>
    <w:p w:rsidR="00F91449" w:rsidRDefault="00F91449" w:rsidP="00F91449">
      <w:pPr>
        <w:pStyle w:val="ListParagraph"/>
        <w:tabs>
          <w:tab w:val="left" w:pos="720"/>
          <w:tab w:val="left" w:pos="1440"/>
          <w:tab w:val="right" w:leader="dot" w:pos="9360"/>
        </w:tabs>
        <w:spacing w:after="0" w:line="240" w:lineRule="auto"/>
        <w:ind w:left="0"/>
        <w:rPr>
          <w:rFonts w:ascii="Times New Roman" w:hAnsi="Times New Roman"/>
        </w:rPr>
      </w:pPr>
      <w:r>
        <w:rPr>
          <w:rFonts w:ascii="Times New Roman" w:hAnsi="Times New Roman"/>
        </w:rPr>
        <w:t>3.</w:t>
      </w:r>
      <w:r w:rsidR="006C0871">
        <w:rPr>
          <w:rFonts w:ascii="Times New Roman" w:hAnsi="Times New Roman"/>
        </w:rPr>
        <w:t>0</w:t>
      </w:r>
      <w:r w:rsidR="006C0871">
        <w:rPr>
          <w:rFonts w:ascii="Times New Roman" w:hAnsi="Times New Roman"/>
        </w:rPr>
        <w:tab/>
        <w:t>Areas of Policy Intervention</w:t>
      </w:r>
      <w:r w:rsidR="006C0871">
        <w:rPr>
          <w:rFonts w:ascii="Times New Roman" w:hAnsi="Times New Roman"/>
        </w:rPr>
        <w:tab/>
        <w:t>4</w:t>
      </w:r>
    </w:p>
    <w:p w:rsidR="00F91449" w:rsidRDefault="00F91449" w:rsidP="00F91449">
      <w:pPr>
        <w:pStyle w:val="ListParagraph"/>
        <w:tabs>
          <w:tab w:val="left" w:pos="720"/>
          <w:tab w:val="left" w:pos="1440"/>
          <w:tab w:val="right" w:leader="dot" w:pos="9360"/>
        </w:tabs>
        <w:spacing w:after="0" w:line="240" w:lineRule="auto"/>
        <w:ind w:left="0"/>
        <w:rPr>
          <w:rFonts w:ascii="Times New Roman" w:hAnsi="Times New Roman"/>
        </w:rPr>
      </w:pPr>
    </w:p>
    <w:p w:rsidR="00F91449" w:rsidRDefault="006C0871" w:rsidP="00F91449">
      <w:pPr>
        <w:pStyle w:val="ListParagraph"/>
        <w:tabs>
          <w:tab w:val="left" w:pos="720"/>
          <w:tab w:val="left" w:pos="1440"/>
          <w:tab w:val="right" w:leader="dot" w:pos="9360"/>
        </w:tabs>
        <w:spacing w:after="0" w:line="240" w:lineRule="auto"/>
        <w:ind w:left="0"/>
        <w:rPr>
          <w:rFonts w:ascii="Times New Roman" w:hAnsi="Times New Roman"/>
        </w:rPr>
      </w:pPr>
      <w:r>
        <w:rPr>
          <w:rFonts w:ascii="Times New Roman" w:hAnsi="Times New Roman"/>
        </w:rPr>
        <w:tab/>
        <w:t>3.1</w:t>
      </w:r>
      <w:r>
        <w:rPr>
          <w:rFonts w:ascii="Times New Roman" w:hAnsi="Times New Roman"/>
        </w:rPr>
        <w:tab/>
      </w:r>
      <w:r w:rsidR="00DA0608">
        <w:rPr>
          <w:rFonts w:ascii="Times New Roman" w:hAnsi="Times New Roman"/>
        </w:rPr>
        <w:t xml:space="preserve">AEAS </w:t>
      </w:r>
      <w:r>
        <w:rPr>
          <w:rFonts w:ascii="Times New Roman" w:hAnsi="Times New Roman"/>
        </w:rPr>
        <w:t>System Characteristics</w:t>
      </w:r>
      <w:r>
        <w:rPr>
          <w:rFonts w:ascii="Times New Roman" w:hAnsi="Times New Roman"/>
        </w:rPr>
        <w:tab/>
        <w:t>4</w:t>
      </w:r>
    </w:p>
    <w:p w:rsidR="00F91449" w:rsidRDefault="00F91449" w:rsidP="00F91449">
      <w:pPr>
        <w:pStyle w:val="ListParagraph"/>
        <w:tabs>
          <w:tab w:val="left" w:pos="720"/>
          <w:tab w:val="left" w:pos="1440"/>
          <w:tab w:val="right" w:leader="dot" w:pos="9360"/>
        </w:tabs>
        <w:spacing w:after="0" w:line="240" w:lineRule="auto"/>
        <w:ind w:left="0"/>
        <w:rPr>
          <w:rFonts w:ascii="Times New Roman" w:hAnsi="Times New Roman"/>
        </w:rPr>
      </w:pPr>
      <w:r>
        <w:rPr>
          <w:rFonts w:ascii="Times New Roman" w:hAnsi="Times New Roman"/>
        </w:rPr>
        <w:tab/>
        <w:t>3.2</w:t>
      </w:r>
      <w:r>
        <w:rPr>
          <w:rFonts w:ascii="Times New Roman" w:hAnsi="Times New Roman"/>
        </w:rPr>
        <w:tab/>
      </w:r>
      <w:r w:rsidR="00DA0608">
        <w:rPr>
          <w:rFonts w:ascii="Times New Roman" w:hAnsi="Times New Roman"/>
        </w:rPr>
        <w:t xml:space="preserve">AEAS </w:t>
      </w:r>
      <w:r w:rsidR="00CB23E6">
        <w:rPr>
          <w:rFonts w:ascii="Times New Roman" w:hAnsi="Times New Roman"/>
        </w:rPr>
        <w:t xml:space="preserve">Client </w:t>
      </w:r>
      <w:r w:rsidR="00B266DF">
        <w:rPr>
          <w:rFonts w:ascii="Times New Roman" w:hAnsi="Times New Roman"/>
        </w:rPr>
        <w:t>Stakeholders</w:t>
      </w:r>
      <w:r w:rsidR="00CB23E6">
        <w:rPr>
          <w:rFonts w:ascii="Times New Roman" w:hAnsi="Times New Roman"/>
        </w:rPr>
        <w:t xml:space="preserve"> </w:t>
      </w:r>
      <w:r w:rsidR="00420AA8">
        <w:rPr>
          <w:rFonts w:ascii="Times New Roman" w:hAnsi="Times New Roman"/>
        </w:rPr>
        <w:t>and Geographic Coverage</w:t>
      </w:r>
      <w:r w:rsidR="006C0871">
        <w:rPr>
          <w:rFonts w:ascii="Times New Roman" w:hAnsi="Times New Roman"/>
        </w:rPr>
        <w:tab/>
        <w:t>7</w:t>
      </w:r>
    </w:p>
    <w:p w:rsidR="00107B27" w:rsidRDefault="00107B27" w:rsidP="00F91449">
      <w:pPr>
        <w:pStyle w:val="ListParagraph"/>
        <w:tabs>
          <w:tab w:val="left" w:pos="720"/>
          <w:tab w:val="left" w:pos="1440"/>
          <w:tab w:val="right" w:leader="dot" w:pos="9360"/>
        </w:tabs>
        <w:spacing w:after="0" w:line="240" w:lineRule="auto"/>
        <w:ind w:left="0"/>
        <w:rPr>
          <w:rFonts w:ascii="Times New Roman" w:hAnsi="Times New Roman"/>
        </w:rPr>
      </w:pPr>
      <w:r>
        <w:rPr>
          <w:rFonts w:ascii="Times New Roman" w:hAnsi="Times New Roman"/>
        </w:rPr>
        <w:tab/>
        <w:t>3.3</w:t>
      </w:r>
      <w:r>
        <w:rPr>
          <w:rFonts w:ascii="Times New Roman" w:hAnsi="Times New Roman"/>
        </w:rPr>
        <w:tab/>
      </w:r>
      <w:r w:rsidR="00DA0608">
        <w:rPr>
          <w:rFonts w:ascii="Times New Roman" w:hAnsi="Times New Roman"/>
        </w:rPr>
        <w:t xml:space="preserve">AEAS </w:t>
      </w:r>
      <w:r>
        <w:rPr>
          <w:rFonts w:ascii="Times New Roman" w:hAnsi="Times New Roman"/>
        </w:rPr>
        <w:t>Content</w:t>
      </w:r>
      <w:r w:rsidR="00790945">
        <w:rPr>
          <w:rFonts w:ascii="Times New Roman" w:hAnsi="Times New Roman"/>
        </w:rPr>
        <w:t xml:space="preserve">, </w:t>
      </w:r>
      <w:r>
        <w:rPr>
          <w:rFonts w:ascii="Times New Roman" w:hAnsi="Times New Roman"/>
        </w:rPr>
        <w:t>Approach</w:t>
      </w:r>
      <w:r w:rsidR="00790945">
        <w:rPr>
          <w:rFonts w:ascii="Times New Roman" w:hAnsi="Times New Roman"/>
        </w:rPr>
        <w:t>, and Methods</w:t>
      </w:r>
      <w:r w:rsidR="006C0871">
        <w:rPr>
          <w:rFonts w:ascii="Times New Roman" w:hAnsi="Times New Roman"/>
        </w:rPr>
        <w:tab/>
      </w:r>
      <w:r w:rsidR="00CB23E6">
        <w:rPr>
          <w:rFonts w:ascii="Times New Roman" w:hAnsi="Times New Roman"/>
        </w:rPr>
        <w:t>8</w:t>
      </w:r>
    </w:p>
    <w:p w:rsidR="00F91449" w:rsidRDefault="00F91449" w:rsidP="00F91449">
      <w:pPr>
        <w:pStyle w:val="ListParagraph"/>
        <w:tabs>
          <w:tab w:val="left" w:pos="720"/>
          <w:tab w:val="left" w:pos="1440"/>
          <w:tab w:val="right" w:leader="dot" w:pos="9360"/>
        </w:tabs>
        <w:spacing w:after="0" w:line="240" w:lineRule="auto"/>
        <w:ind w:left="0"/>
        <w:rPr>
          <w:rFonts w:ascii="Times New Roman" w:hAnsi="Times New Roman"/>
        </w:rPr>
      </w:pPr>
      <w:r>
        <w:rPr>
          <w:rFonts w:ascii="Times New Roman" w:hAnsi="Times New Roman"/>
        </w:rPr>
        <w:tab/>
      </w:r>
      <w:r w:rsidR="00B266DF">
        <w:rPr>
          <w:rFonts w:ascii="Times New Roman" w:hAnsi="Times New Roman"/>
        </w:rPr>
        <w:t>3.</w:t>
      </w:r>
      <w:r w:rsidR="00107B27">
        <w:rPr>
          <w:rFonts w:ascii="Times New Roman" w:hAnsi="Times New Roman"/>
        </w:rPr>
        <w:t>4</w:t>
      </w:r>
      <w:r w:rsidR="00B266DF">
        <w:rPr>
          <w:rFonts w:ascii="Times New Roman" w:hAnsi="Times New Roman"/>
        </w:rPr>
        <w:tab/>
      </w:r>
      <w:r w:rsidR="00DA0608">
        <w:rPr>
          <w:rFonts w:ascii="Times New Roman" w:hAnsi="Times New Roman"/>
        </w:rPr>
        <w:t xml:space="preserve">AEAS </w:t>
      </w:r>
      <w:r w:rsidR="00B266DF">
        <w:rPr>
          <w:rFonts w:ascii="Times New Roman" w:hAnsi="Times New Roman"/>
        </w:rPr>
        <w:t>Actor Roles and Responsibilities</w:t>
      </w:r>
      <w:r w:rsidR="006C0871">
        <w:rPr>
          <w:rFonts w:ascii="Times New Roman" w:hAnsi="Times New Roman"/>
        </w:rPr>
        <w:tab/>
        <w:t>8</w:t>
      </w:r>
    </w:p>
    <w:p w:rsidR="00F91449" w:rsidRDefault="00F91449" w:rsidP="00F91449">
      <w:pPr>
        <w:pStyle w:val="ListParagraph"/>
        <w:tabs>
          <w:tab w:val="left" w:pos="720"/>
          <w:tab w:val="left" w:pos="1440"/>
          <w:tab w:val="right" w:leader="dot" w:pos="9360"/>
        </w:tabs>
        <w:spacing w:after="0" w:line="240" w:lineRule="auto"/>
        <w:ind w:left="0"/>
        <w:rPr>
          <w:rFonts w:ascii="Times New Roman" w:hAnsi="Times New Roman"/>
        </w:rPr>
      </w:pPr>
      <w:r>
        <w:rPr>
          <w:rFonts w:ascii="Times New Roman" w:hAnsi="Times New Roman"/>
        </w:rPr>
        <w:tab/>
        <w:t>3.</w:t>
      </w:r>
      <w:r w:rsidR="00107B27">
        <w:rPr>
          <w:rFonts w:ascii="Times New Roman" w:hAnsi="Times New Roman"/>
        </w:rPr>
        <w:t>5</w:t>
      </w:r>
      <w:r>
        <w:rPr>
          <w:rFonts w:ascii="Times New Roman" w:hAnsi="Times New Roman"/>
        </w:rPr>
        <w:tab/>
      </w:r>
      <w:r w:rsidR="00F20EA6">
        <w:rPr>
          <w:rFonts w:ascii="Times New Roman" w:hAnsi="Times New Roman"/>
        </w:rPr>
        <w:t xml:space="preserve">AEAS </w:t>
      </w:r>
      <w:r w:rsidR="00AC07F7">
        <w:rPr>
          <w:rFonts w:ascii="Times New Roman" w:hAnsi="Times New Roman"/>
        </w:rPr>
        <w:t>Coordination</w:t>
      </w:r>
      <w:r w:rsidR="00D90C7A">
        <w:rPr>
          <w:rFonts w:ascii="Times New Roman" w:hAnsi="Times New Roman"/>
        </w:rPr>
        <w:tab/>
        <w:t>11</w:t>
      </w:r>
    </w:p>
    <w:p w:rsidR="00585810" w:rsidRDefault="00585810" w:rsidP="00B03535">
      <w:pPr>
        <w:pStyle w:val="ListParagraph"/>
        <w:tabs>
          <w:tab w:val="left" w:pos="720"/>
          <w:tab w:val="left" w:pos="1440"/>
          <w:tab w:val="right" w:leader="dot" w:pos="9360"/>
        </w:tabs>
        <w:spacing w:after="0" w:line="240" w:lineRule="auto"/>
        <w:ind w:left="0"/>
        <w:rPr>
          <w:rFonts w:ascii="Times New Roman" w:hAnsi="Times New Roman"/>
        </w:rPr>
      </w:pPr>
      <w:r w:rsidRPr="00B54214">
        <w:rPr>
          <w:rFonts w:ascii="Times New Roman" w:hAnsi="Times New Roman"/>
        </w:rPr>
        <w:tab/>
      </w:r>
    </w:p>
    <w:p w:rsidR="0000449D" w:rsidRDefault="00F91449" w:rsidP="00901028">
      <w:pPr>
        <w:tabs>
          <w:tab w:val="left" w:pos="720"/>
          <w:tab w:val="left" w:pos="1440"/>
          <w:tab w:val="right" w:leader="dot" w:pos="9360"/>
        </w:tabs>
        <w:spacing w:after="0" w:line="240" w:lineRule="auto"/>
        <w:rPr>
          <w:rFonts w:ascii="Times New Roman" w:hAnsi="Times New Roman"/>
        </w:rPr>
      </w:pPr>
      <w:r>
        <w:rPr>
          <w:rFonts w:ascii="Times New Roman" w:hAnsi="Times New Roman"/>
        </w:rPr>
        <w:t>4</w:t>
      </w:r>
      <w:r w:rsidR="0000449D" w:rsidRPr="00B54214">
        <w:rPr>
          <w:rFonts w:ascii="Times New Roman" w:hAnsi="Times New Roman"/>
        </w:rPr>
        <w:t xml:space="preserve">.0 </w:t>
      </w:r>
      <w:r w:rsidR="00901028" w:rsidRPr="00B54214">
        <w:rPr>
          <w:rFonts w:ascii="Times New Roman" w:hAnsi="Times New Roman"/>
        </w:rPr>
        <w:tab/>
      </w:r>
      <w:r w:rsidR="00AC07F7">
        <w:rPr>
          <w:rFonts w:ascii="Times New Roman" w:hAnsi="Times New Roman"/>
        </w:rPr>
        <w:t>The Way Forward</w:t>
      </w:r>
      <w:r w:rsidR="00D90C7A">
        <w:rPr>
          <w:rFonts w:ascii="Times New Roman" w:hAnsi="Times New Roman"/>
        </w:rPr>
        <w:tab/>
        <w:t>13</w:t>
      </w:r>
    </w:p>
    <w:p w:rsidR="003C0593" w:rsidRPr="00B54214" w:rsidRDefault="003C0593" w:rsidP="00901028">
      <w:pPr>
        <w:tabs>
          <w:tab w:val="left" w:pos="720"/>
          <w:tab w:val="left" w:pos="1440"/>
          <w:tab w:val="right" w:leader="dot" w:pos="9360"/>
        </w:tabs>
        <w:spacing w:after="0" w:line="240" w:lineRule="auto"/>
        <w:rPr>
          <w:rFonts w:ascii="Times New Roman" w:hAnsi="Times New Roman"/>
        </w:rPr>
      </w:pPr>
    </w:p>
    <w:bookmarkEnd w:id="1"/>
    <w:bookmarkEnd w:id="2"/>
    <w:p w:rsidR="000C5BF1" w:rsidRPr="00B54214" w:rsidRDefault="000C5BF1" w:rsidP="00613A4C">
      <w:pPr>
        <w:tabs>
          <w:tab w:val="left" w:pos="720"/>
          <w:tab w:val="left" w:pos="1440"/>
          <w:tab w:val="left" w:pos="2160"/>
        </w:tabs>
        <w:spacing w:after="0" w:line="240" w:lineRule="auto"/>
        <w:rPr>
          <w:rFonts w:ascii="Times New Roman" w:hAnsi="Times New Roman"/>
        </w:rPr>
      </w:pPr>
    </w:p>
    <w:p w:rsidR="00092DF3" w:rsidRDefault="0000449D" w:rsidP="00B65545">
      <w:pPr>
        <w:spacing w:after="0" w:line="240" w:lineRule="auto"/>
        <w:jc w:val="center"/>
        <w:rPr>
          <w:rFonts w:ascii="Times New Roman" w:hAnsi="Times New Roman"/>
          <w:b/>
        </w:rPr>
      </w:pPr>
      <w:r w:rsidRPr="00B54214">
        <w:rPr>
          <w:rFonts w:ascii="Times New Roman" w:hAnsi="Times New Roman"/>
          <w:b/>
        </w:rPr>
        <w:br w:type="page"/>
      </w:r>
      <w:r w:rsidR="00B65545" w:rsidRPr="00B54214">
        <w:rPr>
          <w:rFonts w:ascii="Times New Roman" w:hAnsi="Times New Roman"/>
          <w:b/>
        </w:rPr>
        <w:t>LIST OF ABBREVIATIONS AND ACRONYMS</w:t>
      </w:r>
    </w:p>
    <w:p w:rsidR="00D757A2" w:rsidRDefault="00D757A2" w:rsidP="00B65545">
      <w:pPr>
        <w:spacing w:after="0" w:line="240" w:lineRule="auto"/>
        <w:jc w:val="center"/>
        <w:rPr>
          <w:rFonts w:ascii="Times New Roman" w:hAnsi="Times New Roman"/>
          <w:b/>
        </w:rPr>
      </w:pPr>
    </w:p>
    <w:p w:rsidR="00D757A2" w:rsidRDefault="00D757A2" w:rsidP="00B65545">
      <w:pPr>
        <w:spacing w:after="0" w:line="240" w:lineRule="auto"/>
        <w:jc w:val="center"/>
        <w:rPr>
          <w:rFonts w:ascii="Times New Roman" w:hAnsi="Times New Roman"/>
          <w:b/>
        </w:rPr>
      </w:pPr>
    </w:p>
    <w:p w:rsidR="00001109" w:rsidRDefault="00001109" w:rsidP="00B512DE">
      <w:pPr>
        <w:tabs>
          <w:tab w:val="left" w:pos="1440"/>
        </w:tabs>
        <w:spacing w:after="0" w:line="360" w:lineRule="auto"/>
        <w:rPr>
          <w:rFonts w:ascii="Times New Roman" w:hAnsi="Times New Roman"/>
        </w:rPr>
      </w:pPr>
      <w:r>
        <w:rPr>
          <w:rFonts w:ascii="Times New Roman" w:hAnsi="Times New Roman"/>
        </w:rPr>
        <w:t>ACC</w:t>
      </w:r>
      <w:r>
        <w:rPr>
          <w:rFonts w:ascii="Times New Roman" w:hAnsi="Times New Roman"/>
        </w:rPr>
        <w:tab/>
        <w:t>Agricultural Coordination Committee</w:t>
      </w:r>
    </w:p>
    <w:p w:rsidR="00D757A2" w:rsidRDefault="00D757A2" w:rsidP="00B512DE">
      <w:pPr>
        <w:tabs>
          <w:tab w:val="left" w:pos="1440"/>
        </w:tabs>
        <w:spacing w:after="0" w:line="360" w:lineRule="auto"/>
        <w:rPr>
          <w:rFonts w:ascii="Times New Roman" w:hAnsi="Times New Roman"/>
        </w:rPr>
      </w:pPr>
      <w:r w:rsidRPr="00D757A2">
        <w:rPr>
          <w:rFonts w:ascii="Times New Roman" w:hAnsi="Times New Roman"/>
        </w:rPr>
        <w:t>AEAS</w:t>
      </w:r>
      <w:r w:rsidRPr="00D757A2">
        <w:rPr>
          <w:rFonts w:ascii="Times New Roman" w:hAnsi="Times New Roman"/>
        </w:rPr>
        <w:tab/>
        <w:t>Agricultural Extension and Advisory Services</w:t>
      </w:r>
    </w:p>
    <w:p w:rsidR="005274B4" w:rsidRDefault="005274B4" w:rsidP="00B512DE">
      <w:pPr>
        <w:tabs>
          <w:tab w:val="left" w:pos="1440"/>
        </w:tabs>
        <w:spacing w:after="0" w:line="360" w:lineRule="auto"/>
        <w:rPr>
          <w:rFonts w:ascii="Times New Roman" w:hAnsi="Times New Roman"/>
        </w:rPr>
      </w:pPr>
      <w:r>
        <w:rPr>
          <w:rFonts w:ascii="Times New Roman" w:hAnsi="Times New Roman"/>
        </w:rPr>
        <w:t>CBO</w:t>
      </w:r>
      <w:r>
        <w:rPr>
          <w:rFonts w:ascii="Times New Roman" w:hAnsi="Times New Roman"/>
        </w:rPr>
        <w:tab/>
        <w:t>Community-Based Organization</w:t>
      </w:r>
    </w:p>
    <w:p w:rsidR="00D757A2" w:rsidRPr="00D757A2" w:rsidRDefault="00D757A2" w:rsidP="00B512DE">
      <w:pPr>
        <w:tabs>
          <w:tab w:val="left" w:pos="1440"/>
        </w:tabs>
        <w:spacing w:after="0" w:line="360" w:lineRule="auto"/>
        <w:rPr>
          <w:rFonts w:ascii="Times New Roman" w:hAnsi="Times New Roman"/>
        </w:rPr>
      </w:pPr>
      <w:r>
        <w:rPr>
          <w:rFonts w:ascii="Times New Roman" w:hAnsi="Times New Roman"/>
        </w:rPr>
        <w:t>DRDRE</w:t>
      </w:r>
      <w:r>
        <w:rPr>
          <w:rFonts w:ascii="Times New Roman" w:hAnsi="Times New Roman"/>
        </w:rPr>
        <w:tab/>
        <w:t>Department of Regional Development, Research and Extension</w:t>
      </w:r>
    </w:p>
    <w:p w:rsidR="00D757A2" w:rsidRDefault="00D757A2" w:rsidP="00B512DE">
      <w:pPr>
        <w:tabs>
          <w:tab w:val="left" w:pos="1440"/>
        </w:tabs>
        <w:spacing w:after="0" w:line="360" w:lineRule="auto"/>
        <w:rPr>
          <w:rFonts w:ascii="Times New Roman" w:hAnsi="Times New Roman"/>
        </w:rPr>
      </w:pPr>
      <w:r w:rsidRPr="00D757A2">
        <w:rPr>
          <w:rFonts w:ascii="Times New Roman" w:hAnsi="Times New Roman"/>
        </w:rPr>
        <w:t>ICT</w:t>
      </w:r>
      <w:r w:rsidRPr="00D757A2">
        <w:rPr>
          <w:rFonts w:ascii="Times New Roman" w:hAnsi="Times New Roman"/>
        </w:rPr>
        <w:tab/>
        <w:t>Information Communication Technology</w:t>
      </w:r>
    </w:p>
    <w:p w:rsidR="00D757A2" w:rsidRDefault="00D757A2" w:rsidP="00B512DE">
      <w:pPr>
        <w:tabs>
          <w:tab w:val="left" w:pos="1440"/>
        </w:tabs>
        <w:spacing w:after="0" w:line="360" w:lineRule="auto"/>
        <w:rPr>
          <w:rFonts w:ascii="Times New Roman" w:hAnsi="Times New Roman"/>
        </w:rPr>
      </w:pPr>
      <w:r>
        <w:rPr>
          <w:rFonts w:ascii="Times New Roman" w:hAnsi="Times New Roman"/>
        </w:rPr>
        <w:t>LASIP</w:t>
      </w:r>
      <w:r>
        <w:rPr>
          <w:rFonts w:ascii="Times New Roman" w:hAnsi="Times New Roman"/>
        </w:rPr>
        <w:tab/>
        <w:t>Liberia Agriculture Sector Investment Program</w:t>
      </w:r>
    </w:p>
    <w:p w:rsidR="00D757A2" w:rsidRDefault="00D757A2" w:rsidP="00B512DE">
      <w:pPr>
        <w:tabs>
          <w:tab w:val="left" w:pos="1440"/>
        </w:tabs>
        <w:spacing w:after="0" w:line="360" w:lineRule="auto"/>
        <w:rPr>
          <w:rFonts w:ascii="Times New Roman" w:hAnsi="Times New Roman"/>
        </w:rPr>
      </w:pPr>
      <w:r>
        <w:rPr>
          <w:rFonts w:ascii="Times New Roman" w:hAnsi="Times New Roman"/>
        </w:rPr>
        <w:t>MOA</w:t>
      </w:r>
      <w:r>
        <w:rPr>
          <w:rFonts w:ascii="Times New Roman" w:hAnsi="Times New Roman"/>
        </w:rPr>
        <w:tab/>
        <w:t>Ministry of Agriculture</w:t>
      </w:r>
    </w:p>
    <w:p w:rsidR="00D757A2" w:rsidRDefault="00D757A2" w:rsidP="00B512DE">
      <w:pPr>
        <w:tabs>
          <w:tab w:val="left" w:pos="1440"/>
        </w:tabs>
        <w:spacing w:after="0" w:line="360" w:lineRule="auto"/>
        <w:rPr>
          <w:rFonts w:ascii="Times New Roman" w:hAnsi="Times New Roman"/>
        </w:rPr>
      </w:pPr>
      <w:r>
        <w:rPr>
          <w:rFonts w:ascii="Times New Roman" w:hAnsi="Times New Roman"/>
        </w:rPr>
        <w:t>NGO</w:t>
      </w:r>
      <w:r>
        <w:rPr>
          <w:rFonts w:ascii="Times New Roman" w:hAnsi="Times New Roman"/>
        </w:rPr>
        <w:tab/>
        <w:t>Non-Governmental Organization</w:t>
      </w:r>
    </w:p>
    <w:p w:rsidR="00D757A2" w:rsidRPr="00D757A2" w:rsidRDefault="00D757A2" w:rsidP="00B512DE">
      <w:pPr>
        <w:tabs>
          <w:tab w:val="left" w:pos="1440"/>
        </w:tabs>
        <w:spacing w:after="0" w:line="360" w:lineRule="auto"/>
        <w:rPr>
          <w:rFonts w:ascii="Times New Roman" w:hAnsi="Times New Roman"/>
        </w:rPr>
      </w:pPr>
      <w:r>
        <w:rPr>
          <w:rFonts w:ascii="Times New Roman" w:hAnsi="Times New Roman"/>
        </w:rPr>
        <w:t>SNRM</w:t>
      </w:r>
      <w:r>
        <w:rPr>
          <w:rFonts w:ascii="Times New Roman" w:hAnsi="Times New Roman"/>
        </w:rPr>
        <w:tab/>
        <w:t>Sustainable Natural Resource Management</w:t>
      </w:r>
    </w:p>
    <w:p w:rsidR="00B65545" w:rsidRPr="00D757A2" w:rsidRDefault="004F63C7" w:rsidP="00B65545">
      <w:pPr>
        <w:spacing w:after="0" w:line="240" w:lineRule="auto"/>
        <w:rPr>
          <w:rFonts w:ascii="Times New Roman" w:hAnsi="Times New Roman"/>
        </w:rPr>
      </w:pPr>
      <w:r>
        <w:rPr>
          <w:rFonts w:ascii="Times New Roman" w:hAnsi="Times New Roman"/>
        </w:rPr>
        <w:t>USAID</w:t>
      </w:r>
      <w:r>
        <w:rPr>
          <w:rFonts w:ascii="Times New Roman" w:hAnsi="Times New Roman"/>
        </w:rPr>
        <w:tab/>
      </w:r>
      <w:r>
        <w:rPr>
          <w:rFonts w:ascii="Times New Roman" w:hAnsi="Times New Roman"/>
        </w:rPr>
        <w:tab/>
        <w:t>United States Agency for International Development</w:t>
      </w:r>
    </w:p>
    <w:p w:rsidR="00D757A2" w:rsidRDefault="00D757A2" w:rsidP="00B65545">
      <w:pPr>
        <w:spacing w:after="0" w:line="240" w:lineRule="auto"/>
        <w:ind w:left="1440" w:hanging="1440"/>
        <w:rPr>
          <w:rFonts w:ascii="Times New Roman" w:hAnsi="Times New Roman"/>
        </w:rPr>
      </w:pPr>
    </w:p>
    <w:p w:rsidR="001D237B" w:rsidRPr="00B54214" w:rsidRDefault="001D237B" w:rsidP="00B65545">
      <w:pPr>
        <w:spacing w:after="0" w:line="240" w:lineRule="auto"/>
        <w:rPr>
          <w:rFonts w:ascii="Times New Roman" w:hAnsi="Times New Roman"/>
        </w:rPr>
      </w:pPr>
    </w:p>
    <w:p w:rsidR="00092DF3" w:rsidRDefault="009E2E38" w:rsidP="00B65545">
      <w:pPr>
        <w:spacing w:after="0" w:line="240" w:lineRule="auto"/>
        <w:jc w:val="center"/>
        <w:rPr>
          <w:rFonts w:ascii="Times New Roman" w:hAnsi="Times New Roman"/>
          <w:b/>
        </w:rPr>
      </w:pPr>
      <w:r w:rsidRPr="00B54214">
        <w:rPr>
          <w:rFonts w:ascii="Times New Roman" w:hAnsi="Times New Roman"/>
          <w:b/>
        </w:rPr>
        <w:br w:type="page"/>
      </w:r>
      <w:r w:rsidR="003C0593">
        <w:rPr>
          <w:rFonts w:ascii="Times New Roman" w:hAnsi="Times New Roman"/>
          <w:b/>
        </w:rPr>
        <w:t>FOR</w:t>
      </w:r>
      <w:r w:rsidR="009C1D10">
        <w:rPr>
          <w:rFonts w:ascii="Times New Roman" w:hAnsi="Times New Roman"/>
          <w:b/>
        </w:rPr>
        <w:t>E</w:t>
      </w:r>
      <w:r w:rsidR="003C0593">
        <w:rPr>
          <w:rFonts w:ascii="Times New Roman" w:hAnsi="Times New Roman"/>
          <w:b/>
        </w:rPr>
        <w:t>WARD</w:t>
      </w:r>
    </w:p>
    <w:p w:rsidR="003C0593" w:rsidRDefault="003C0593" w:rsidP="00B65545">
      <w:pPr>
        <w:spacing w:after="0" w:line="240" w:lineRule="auto"/>
        <w:jc w:val="center"/>
        <w:rPr>
          <w:rFonts w:ascii="Times New Roman" w:hAnsi="Times New Roman"/>
          <w:b/>
        </w:rPr>
      </w:pPr>
    </w:p>
    <w:p w:rsidR="003C0593" w:rsidRDefault="003C0593" w:rsidP="00B65545">
      <w:pPr>
        <w:spacing w:after="0" w:line="240" w:lineRule="auto"/>
        <w:jc w:val="center"/>
        <w:rPr>
          <w:rFonts w:ascii="Times New Roman" w:hAnsi="Times New Roman"/>
          <w:b/>
        </w:rPr>
      </w:pPr>
    </w:p>
    <w:p w:rsidR="003C0593" w:rsidRDefault="003C0593" w:rsidP="003C0593">
      <w:pPr>
        <w:spacing w:after="0" w:line="240" w:lineRule="auto"/>
        <w:jc w:val="both"/>
        <w:rPr>
          <w:rFonts w:ascii="Times New Roman" w:hAnsi="Times New Roman"/>
        </w:rPr>
      </w:pPr>
      <w:r w:rsidRPr="00B20C5D">
        <w:rPr>
          <w:rFonts w:ascii="Times New Roman" w:hAnsi="Times New Roman"/>
        </w:rPr>
        <w:t xml:space="preserve">Agriculture continues to be the mainstay of Liberia’s economy.  Effective and efficient agricultural extension and advisory services are critical to unleashing the productive potential of the thousands of smallholders whose livelihoods are dependent on agriculture.   Liberia’s </w:t>
      </w:r>
      <w:r w:rsidRPr="00B20C5D">
        <w:rPr>
          <w:rFonts w:ascii="Times New Roman" w:hAnsi="Times New Roman"/>
          <w:i/>
        </w:rPr>
        <w:t>Food and Agriculture Policy and Strategy</w:t>
      </w:r>
      <w:r w:rsidRPr="00B20C5D">
        <w:rPr>
          <w:rFonts w:ascii="Times New Roman" w:hAnsi="Times New Roman"/>
        </w:rPr>
        <w:t xml:space="preserve"> (2008) and the </w:t>
      </w:r>
      <w:r w:rsidRPr="00B20C5D">
        <w:rPr>
          <w:rFonts w:ascii="Times New Roman" w:hAnsi="Times New Roman"/>
          <w:bCs/>
          <w:i/>
        </w:rPr>
        <w:t>Liberia Agricultural Sector Investment Program</w:t>
      </w:r>
      <w:r w:rsidRPr="00B20C5D">
        <w:rPr>
          <w:rFonts w:ascii="Times New Roman" w:hAnsi="Times New Roman"/>
          <w:bCs/>
        </w:rPr>
        <w:t xml:space="preserve"> (2010) call for transformation of Liberia’s extension services into a decentralized and demand-driven system.   Extension services in Liberia are currently provided by </w:t>
      </w:r>
      <w:r w:rsidRPr="00B20C5D">
        <w:rPr>
          <w:rFonts w:ascii="Times New Roman" w:hAnsi="Times New Roman"/>
        </w:rPr>
        <w:t xml:space="preserve">public, </w:t>
      </w:r>
      <w:r>
        <w:rPr>
          <w:rFonts w:ascii="Times New Roman" w:hAnsi="Times New Roman"/>
        </w:rPr>
        <w:t xml:space="preserve">some </w:t>
      </w:r>
      <w:r w:rsidRPr="00B20C5D">
        <w:rPr>
          <w:rFonts w:ascii="Times New Roman" w:hAnsi="Times New Roman"/>
        </w:rPr>
        <w:t xml:space="preserve">private, and </w:t>
      </w:r>
      <w:r>
        <w:rPr>
          <w:rFonts w:ascii="Times New Roman" w:hAnsi="Times New Roman"/>
        </w:rPr>
        <w:t xml:space="preserve">an abundance of </w:t>
      </w:r>
      <w:r w:rsidRPr="00B20C5D">
        <w:rPr>
          <w:rFonts w:ascii="Times New Roman" w:hAnsi="Times New Roman"/>
        </w:rPr>
        <w:t xml:space="preserve">civil society sector actors.   </w:t>
      </w:r>
      <w:r w:rsidRPr="00B20C5D">
        <w:rPr>
          <w:rFonts w:ascii="Times New Roman" w:hAnsi="Times New Roman"/>
          <w:bCs/>
        </w:rPr>
        <w:t xml:space="preserve">There has not been a referenced policy document to frame the process of transforming the national extension system nor to provide guidance to agricultural extension stakeholders.   </w:t>
      </w:r>
      <w:r w:rsidRPr="00B20C5D">
        <w:rPr>
          <w:rFonts w:ascii="Times New Roman" w:hAnsi="Times New Roman"/>
        </w:rPr>
        <w:t xml:space="preserve">It is the intention of this National Policy for Agricultural Extension and Advisory Services (AEAS) to provide the legal and enabling framework for the transformation of the existing extension system into a pluralistic, decentralized, demand-driven, and market-oriented </w:t>
      </w:r>
      <w:r>
        <w:rPr>
          <w:rFonts w:ascii="Times New Roman" w:hAnsi="Times New Roman"/>
        </w:rPr>
        <w:t xml:space="preserve">AEAS </w:t>
      </w:r>
      <w:r w:rsidRPr="00B20C5D">
        <w:rPr>
          <w:rFonts w:ascii="Times New Roman" w:hAnsi="Times New Roman"/>
        </w:rPr>
        <w:t xml:space="preserve">system </w:t>
      </w:r>
      <w:r>
        <w:rPr>
          <w:rFonts w:ascii="Times New Roman" w:hAnsi="Times New Roman"/>
        </w:rPr>
        <w:t xml:space="preserve">that is responsive to cross-cutting issues such as gender, nutrition, HIV/AIDS, natural resource management, and climate change, </w:t>
      </w:r>
      <w:r w:rsidRPr="00B20C5D">
        <w:rPr>
          <w:rFonts w:ascii="Times New Roman" w:hAnsi="Times New Roman"/>
        </w:rPr>
        <w:t xml:space="preserve">and to provide guidance to AEAS stakeholders.   </w:t>
      </w:r>
    </w:p>
    <w:p w:rsidR="003C0593" w:rsidRPr="00B20C5D" w:rsidRDefault="003C0593" w:rsidP="003C0593">
      <w:pPr>
        <w:spacing w:after="0" w:line="240" w:lineRule="auto"/>
        <w:jc w:val="both"/>
        <w:rPr>
          <w:rFonts w:ascii="Times New Roman" w:hAnsi="Times New Roman"/>
        </w:rPr>
      </w:pPr>
    </w:p>
    <w:p w:rsidR="003C0593" w:rsidRDefault="003C0593" w:rsidP="003C0593">
      <w:pPr>
        <w:spacing w:after="0" w:line="240" w:lineRule="auto"/>
        <w:jc w:val="both"/>
        <w:rPr>
          <w:rFonts w:ascii="Times New Roman" w:hAnsi="Times New Roman"/>
        </w:rPr>
      </w:pPr>
      <w:r w:rsidRPr="00B20C5D">
        <w:rPr>
          <w:rFonts w:ascii="Times New Roman" w:hAnsi="Times New Roman"/>
        </w:rPr>
        <w:t>The Policy was developed through a participatory process.  The MOA appointed an Extension Policy Task Force to lead policy development.  The Task Force benefited from consultations via field visits, group discussions, rapid surveys, and interviews with many stakeholders including farmers and farmer organizations, extension agents, consultants,</w:t>
      </w:r>
      <w:r>
        <w:rPr>
          <w:rFonts w:ascii="Times New Roman" w:hAnsi="Times New Roman"/>
        </w:rPr>
        <w:t xml:space="preserve"> </w:t>
      </w:r>
      <w:r w:rsidRPr="00B20C5D">
        <w:rPr>
          <w:rFonts w:ascii="Times New Roman" w:hAnsi="Times New Roman"/>
        </w:rPr>
        <w:t>and representatives of NGOs, agri-businesses, agricultural education institutions, donors, and intern</w:t>
      </w:r>
      <w:r w:rsidR="00A54F54">
        <w:rPr>
          <w:rFonts w:ascii="Times New Roman" w:hAnsi="Times New Roman"/>
        </w:rPr>
        <w:t>ational technical agencies</w:t>
      </w:r>
      <w:r w:rsidRPr="00B20C5D">
        <w:rPr>
          <w:rFonts w:ascii="Times New Roman" w:hAnsi="Times New Roman"/>
        </w:rPr>
        <w:t>.  The consultative process culminated in a Stakeholder Validation Workshop held in Monrovia</w:t>
      </w:r>
      <w:r>
        <w:rPr>
          <w:rFonts w:ascii="Times New Roman" w:hAnsi="Times New Roman"/>
        </w:rPr>
        <w:t xml:space="preserve"> </w:t>
      </w:r>
      <w:r w:rsidR="00F90AF7">
        <w:rPr>
          <w:rFonts w:ascii="Times New Roman" w:hAnsi="Times New Roman"/>
        </w:rPr>
        <w:t>on July 3,</w:t>
      </w:r>
      <w:r>
        <w:rPr>
          <w:rFonts w:ascii="Times New Roman" w:hAnsi="Times New Roman"/>
        </w:rPr>
        <w:t xml:space="preserve"> 2012</w:t>
      </w:r>
      <w:r w:rsidRPr="00B20C5D">
        <w:rPr>
          <w:rFonts w:ascii="Times New Roman" w:hAnsi="Times New Roman"/>
        </w:rPr>
        <w:t xml:space="preserve"> with representation from a wide-range of stakeholders who provided additional input for the Policy.</w:t>
      </w:r>
    </w:p>
    <w:p w:rsidR="003C0593" w:rsidRDefault="003C0593" w:rsidP="003C0593">
      <w:pPr>
        <w:spacing w:after="0" w:line="240" w:lineRule="auto"/>
        <w:jc w:val="both"/>
        <w:rPr>
          <w:rFonts w:ascii="Times New Roman" w:hAnsi="Times New Roman"/>
        </w:rPr>
      </w:pPr>
    </w:p>
    <w:p w:rsidR="00B82E51" w:rsidRDefault="003C0593" w:rsidP="003C0593">
      <w:pPr>
        <w:spacing w:after="0" w:line="240" w:lineRule="auto"/>
        <w:jc w:val="both"/>
        <w:rPr>
          <w:rFonts w:ascii="Times New Roman" w:hAnsi="Times New Roman"/>
        </w:rPr>
      </w:pPr>
      <w:r>
        <w:rPr>
          <w:rFonts w:ascii="Times New Roman" w:hAnsi="Times New Roman"/>
        </w:rPr>
        <w:t xml:space="preserve">The National Policy for AEAS comes at an opportune time. Liberia is moving from relief and rehabilitation to an environment of development and growth. The National Policy places AEAS in strong position to contribute to national aims of achieving sustainable agricultural growth and food security, improving family nutrition, and increasing farmers’ and other market actors’ incomes to help alleviate poverty nationwide. </w:t>
      </w:r>
    </w:p>
    <w:p w:rsidR="00B82E51" w:rsidRDefault="00B82E51" w:rsidP="003C0593">
      <w:pPr>
        <w:spacing w:after="0" w:line="240" w:lineRule="auto"/>
        <w:jc w:val="both"/>
        <w:rPr>
          <w:rFonts w:ascii="Times New Roman" w:hAnsi="Times New Roman"/>
        </w:rPr>
      </w:pPr>
    </w:p>
    <w:p w:rsidR="00B82E51" w:rsidRDefault="00B82E51" w:rsidP="003C0593">
      <w:pPr>
        <w:spacing w:after="0" w:line="240" w:lineRule="auto"/>
        <w:jc w:val="both"/>
        <w:rPr>
          <w:rFonts w:ascii="Times New Roman" w:hAnsi="Times New Roman"/>
        </w:rPr>
      </w:pPr>
    </w:p>
    <w:p w:rsidR="00B82E51" w:rsidRDefault="00B82E51" w:rsidP="003C0593">
      <w:pPr>
        <w:spacing w:after="0" w:line="240" w:lineRule="auto"/>
        <w:jc w:val="both"/>
        <w:rPr>
          <w:rFonts w:ascii="Times New Roman" w:hAnsi="Times New Roman"/>
        </w:rPr>
      </w:pPr>
    </w:p>
    <w:p w:rsidR="00B82E51" w:rsidRDefault="00B82E51" w:rsidP="003C0593">
      <w:pPr>
        <w:spacing w:after="0" w:line="240" w:lineRule="auto"/>
        <w:jc w:val="both"/>
        <w:rPr>
          <w:rFonts w:ascii="Times New Roman" w:hAnsi="Times New Roman"/>
        </w:rPr>
      </w:pPr>
    </w:p>
    <w:p w:rsidR="00B82E51" w:rsidRDefault="00B82E51" w:rsidP="003C0593">
      <w:pPr>
        <w:spacing w:after="0" w:line="240" w:lineRule="auto"/>
        <w:jc w:val="both"/>
        <w:rPr>
          <w:rFonts w:ascii="Times New Roman" w:hAnsi="Times New Roman"/>
        </w:rPr>
      </w:pPr>
      <w:r>
        <w:rPr>
          <w:rFonts w:ascii="Times New Roman" w:hAnsi="Times New Roman"/>
        </w:rPr>
        <w:t>Florence A. Chenoweth</w:t>
      </w:r>
    </w:p>
    <w:p w:rsidR="00B82E51" w:rsidRDefault="00B82E51" w:rsidP="003C0593">
      <w:pPr>
        <w:spacing w:after="0" w:line="240" w:lineRule="auto"/>
        <w:jc w:val="both"/>
        <w:rPr>
          <w:rFonts w:ascii="Times New Roman" w:hAnsi="Times New Roman"/>
        </w:rPr>
      </w:pPr>
      <w:r>
        <w:rPr>
          <w:rFonts w:ascii="Times New Roman" w:hAnsi="Times New Roman"/>
        </w:rPr>
        <w:t>Minister</w:t>
      </w:r>
    </w:p>
    <w:p w:rsidR="003C0593" w:rsidRPr="00B20C5D" w:rsidRDefault="00B82E51" w:rsidP="003C0593">
      <w:pPr>
        <w:spacing w:after="0" w:line="240" w:lineRule="auto"/>
        <w:jc w:val="both"/>
        <w:rPr>
          <w:rFonts w:ascii="Times New Roman" w:hAnsi="Times New Roman"/>
        </w:rPr>
      </w:pPr>
      <w:r>
        <w:rPr>
          <w:rFonts w:ascii="Times New Roman" w:hAnsi="Times New Roman"/>
        </w:rPr>
        <w:t>Minister of Agriculture</w:t>
      </w:r>
      <w:r w:rsidR="003C0593">
        <w:rPr>
          <w:rFonts w:ascii="Times New Roman" w:hAnsi="Times New Roman"/>
        </w:rPr>
        <w:t xml:space="preserve"> </w:t>
      </w:r>
    </w:p>
    <w:p w:rsidR="003C0593" w:rsidRPr="00B54214" w:rsidRDefault="003C0593" w:rsidP="00B65545">
      <w:pPr>
        <w:spacing w:after="0" w:line="240" w:lineRule="auto"/>
        <w:jc w:val="center"/>
        <w:rPr>
          <w:rFonts w:ascii="Times New Roman" w:hAnsi="Times New Roman"/>
          <w:b/>
        </w:rPr>
      </w:pPr>
    </w:p>
    <w:p w:rsidR="004B6D73" w:rsidRPr="00B54214" w:rsidRDefault="004B6D73" w:rsidP="00092DF3">
      <w:pPr>
        <w:spacing w:line="240" w:lineRule="auto"/>
        <w:rPr>
          <w:rFonts w:ascii="Times New Roman" w:hAnsi="Times New Roman"/>
          <w:b/>
        </w:rPr>
      </w:pPr>
    </w:p>
    <w:p w:rsidR="00092DF3" w:rsidRDefault="009E2E38" w:rsidP="00B65545">
      <w:pPr>
        <w:spacing w:after="0" w:line="240" w:lineRule="auto"/>
        <w:jc w:val="center"/>
        <w:rPr>
          <w:rFonts w:ascii="Times New Roman" w:hAnsi="Times New Roman"/>
          <w:b/>
        </w:rPr>
      </w:pPr>
      <w:r w:rsidRPr="00B54214">
        <w:rPr>
          <w:rFonts w:ascii="Times New Roman" w:hAnsi="Times New Roman"/>
          <w:b/>
        </w:rPr>
        <w:br w:type="page"/>
      </w:r>
      <w:r w:rsidR="003C0593">
        <w:rPr>
          <w:rFonts w:ascii="Times New Roman" w:hAnsi="Times New Roman"/>
          <w:b/>
        </w:rPr>
        <w:t>ACKNOWLEDGEMENTS</w:t>
      </w:r>
    </w:p>
    <w:p w:rsidR="003C0593" w:rsidRDefault="003C0593" w:rsidP="00B65545">
      <w:pPr>
        <w:spacing w:after="0" w:line="240" w:lineRule="auto"/>
        <w:jc w:val="center"/>
        <w:rPr>
          <w:rFonts w:ascii="Times New Roman" w:hAnsi="Times New Roman"/>
          <w:b/>
        </w:rPr>
      </w:pPr>
    </w:p>
    <w:p w:rsidR="003C0593" w:rsidRDefault="003C0593" w:rsidP="00B65545">
      <w:pPr>
        <w:spacing w:after="0" w:line="240" w:lineRule="auto"/>
        <w:jc w:val="center"/>
        <w:rPr>
          <w:rFonts w:ascii="Times New Roman" w:hAnsi="Times New Roman"/>
          <w:b/>
        </w:rPr>
      </w:pPr>
    </w:p>
    <w:p w:rsidR="003C0593" w:rsidRPr="00C950E2" w:rsidRDefault="003C0593" w:rsidP="003C0593">
      <w:pPr>
        <w:spacing w:after="0" w:line="240" w:lineRule="auto"/>
        <w:jc w:val="both"/>
        <w:rPr>
          <w:rFonts w:ascii="Times New Roman" w:eastAsia="Times New Roman" w:hAnsi="Times New Roman"/>
        </w:rPr>
      </w:pPr>
      <w:r w:rsidRPr="00C950E2">
        <w:rPr>
          <w:rFonts w:ascii="Times New Roman" w:hAnsi="Times New Roman"/>
        </w:rPr>
        <w:t>The development of the National Policy for Agricultural Extension and Advisory Services required the participation and contributions of many people. The M</w:t>
      </w:r>
      <w:r w:rsidRPr="00C950E2">
        <w:rPr>
          <w:rFonts w:ascii="Times New Roman" w:eastAsia="Times New Roman" w:hAnsi="Times New Roman"/>
        </w:rPr>
        <w:t>inistry of Agriculture</w:t>
      </w:r>
      <w:r>
        <w:rPr>
          <w:rFonts w:ascii="Times New Roman" w:eastAsia="Times New Roman" w:hAnsi="Times New Roman"/>
        </w:rPr>
        <w:t xml:space="preserve"> </w:t>
      </w:r>
      <w:r w:rsidRPr="00C950E2">
        <w:rPr>
          <w:rFonts w:ascii="Times New Roman" w:eastAsia="Times New Roman" w:hAnsi="Times New Roman"/>
        </w:rPr>
        <w:t xml:space="preserve">(MOA) wishes to acknowledge </w:t>
      </w:r>
      <w:r>
        <w:rPr>
          <w:rFonts w:ascii="Times New Roman" w:eastAsia="Times New Roman" w:hAnsi="Times New Roman"/>
        </w:rPr>
        <w:t xml:space="preserve">with gratitude </w:t>
      </w:r>
      <w:r w:rsidRPr="00C950E2">
        <w:rPr>
          <w:rFonts w:ascii="Times New Roman" w:eastAsia="Times New Roman" w:hAnsi="Times New Roman"/>
        </w:rPr>
        <w:t>the input of all partners and stakeholders who offered invaluable assistance, support, and guidance in the preparation of this Policy</w:t>
      </w:r>
      <w:r>
        <w:rPr>
          <w:rFonts w:ascii="Times New Roman" w:eastAsia="Times New Roman" w:hAnsi="Times New Roman"/>
        </w:rPr>
        <w:t xml:space="preserve">.  Their involvement strengthened and improved the Policy. </w:t>
      </w:r>
      <w:r w:rsidRPr="00C950E2">
        <w:rPr>
          <w:rFonts w:ascii="Times New Roman" w:eastAsia="Times New Roman" w:hAnsi="Times New Roman"/>
        </w:rPr>
        <w:t xml:space="preserve">Special thanks </w:t>
      </w:r>
      <w:r>
        <w:rPr>
          <w:rFonts w:ascii="Times New Roman" w:eastAsia="Times New Roman" w:hAnsi="Times New Roman"/>
        </w:rPr>
        <w:t>are extended</w:t>
      </w:r>
      <w:r w:rsidRPr="00C950E2">
        <w:rPr>
          <w:rFonts w:ascii="Times New Roman" w:eastAsia="Times New Roman" w:hAnsi="Times New Roman"/>
        </w:rPr>
        <w:t xml:space="preserve"> to team members of the MOA Extension Policy Task Force</w:t>
      </w:r>
      <w:r>
        <w:rPr>
          <w:rFonts w:ascii="Times New Roman" w:eastAsia="Times New Roman" w:hAnsi="Times New Roman"/>
        </w:rPr>
        <w:t xml:space="preserve"> who worked tirelessly to ensure the Policy reflected best practices and incorporated stakeholder input.</w:t>
      </w:r>
    </w:p>
    <w:p w:rsidR="003C0593" w:rsidRPr="00C950E2" w:rsidRDefault="003C0593" w:rsidP="003C0593">
      <w:pPr>
        <w:spacing w:after="0" w:line="240" w:lineRule="auto"/>
        <w:jc w:val="both"/>
        <w:rPr>
          <w:rFonts w:ascii="Times New Roman" w:hAnsi="Times New Roman"/>
        </w:rPr>
      </w:pPr>
    </w:p>
    <w:p w:rsidR="003C0593" w:rsidRPr="00C950E2" w:rsidRDefault="003C0593" w:rsidP="003C0593">
      <w:pPr>
        <w:spacing w:after="0" w:line="240" w:lineRule="auto"/>
        <w:jc w:val="both"/>
        <w:rPr>
          <w:rFonts w:ascii="Times New Roman" w:hAnsi="Times New Roman"/>
        </w:rPr>
      </w:pPr>
      <w:r w:rsidRPr="00C950E2">
        <w:rPr>
          <w:rFonts w:ascii="Times New Roman" w:hAnsi="Times New Roman"/>
        </w:rPr>
        <w:t xml:space="preserve">The MOA also wishes to extend </w:t>
      </w:r>
      <w:r>
        <w:rPr>
          <w:rFonts w:ascii="Times New Roman" w:hAnsi="Times New Roman"/>
        </w:rPr>
        <w:t>hearty</w:t>
      </w:r>
      <w:r w:rsidRPr="00C950E2">
        <w:rPr>
          <w:rFonts w:ascii="Times New Roman" w:hAnsi="Times New Roman"/>
        </w:rPr>
        <w:t xml:space="preserve"> thanks and appreciation to the United States Agency for International Development (USAID) for the technical and financial assistance that was provided through the Modernizing Extension and Advisory Services Project to prepare this Polic</w:t>
      </w:r>
      <w:r>
        <w:rPr>
          <w:rFonts w:ascii="Times New Roman" w:hAnsi="Times New Roman"/>
        </w:rPr>
        <w:t xml:space="preserve">y </w:t>
      </w:r>
      <w:r w:rsidRPr="00C950E2">
        <w:rPr>
          <w:rFonts w:ascii="Times New Roman" w:hAnsi="Times New Roman"/>
        </w:rPr>
        <w:t xml:space="preserve">document.  </w:t>
      </w:r>
    </w:p>
    <w:p w:rsidR="003C0593" w:rsidRPr="00B54214" w:rsidRDefault="003C0593" w:rsidP="00B65545">
      <w:pPr>
        <w:spacing w:after="0" w:line="240" w:lineRule="auto"/>
        <w:jc w:val="center"/>
        <w:rPr>
          <w:rFonts w:ascii="Times New Roman" w:hAnsi="Times New Roman"/>
          <w:b/>
        </w:rPr>
      </w:pPr>
    </w:p>
    <w:p w:rsidR="004B6D73" w:rsidRPr="00B54214" w:rsidRDefault="004B6D73" w:rsidP="00B65545">
      <w:pPr>
        <w:spacing w:after="0" w:line="240" w:lineRule="auto"/>
        <w:rPr>
          <w:rFonts w:ascii="Times New Roman" w:hAnsi="Times New Roman"/>
        </w:rPr>
      </w:pPr>
    </w:p>
    <w:p w:rsidR="00EB08D3" w:rsidRPr="00B54214" w:rsidRDefault="00EB08D3" w:rsidP="0000358E">
      <w:pPr>
        <w:spacing w:line="240" w:lineRule="auto"/>
        <w:rPr>
          <w:rFonts w:ascii="Times New Roman" w:hAnsi="Times New Roman"/>
          <w:b/>
        </w:rPr>
        <w:sectPr w:rsidR="00EB08D3" w:rsidRPr="00B54214" w:rsidSect="009D6832">
          <w:footerReference w:type="even" r:id="rId12"/>
          <w:footerReference w:type="default" r:id="rId13"/>
          <w:pgSz w:w="12240" w:h="15840"/>
          <w:pgMar w:top="1440" w:right="1440" w:bottom="1440" w:left="1440" w:header="720" w:footer="720" w:gutter="0"/>
          <w:pgNumType w:fmt="lowerRoman"/>
          <w:cols w:space="720"/>
          <w:titlePg/>
          <w:docGrid w:linePitch="360"/>
        </w:sectPr>
      </w:pPr>
    </w:p>
    <w:p w:rsidR="00DB0F4C" w:rsidRDefault="00B266DF" w:rsidP="00ED3BAE">
      <w:pPr>
        <w:spacing w:after="0" w:line="240" w:lineRule="auto"/>
        <w:jc w:val="both"/>
        <w:rPr>
          <w:rFonts w:ascii="Times New Roman" w:hAnsi="Times New Roman"/>
          <w:b/>
        </w:rPr>
      </w:pPr>
      <w:r w:rsidRPr="003556E4">
        <w:rPr>
          <w:rFonts w:ascii="Times New Roman" w:hAnsi="Times New Roman"/>
          <w:b/>
        </w:rPr>
        <w:t xml:space="preserve">1.0 </w:t>
      </w:r>
      <w:r w:rsidRPr="003556E4">
        <w:rPr>
          <w:rFonts w:ascii="Times New Roman" w:hAnsi="Times New Roman"/>
          <w:b/>
        </w:rPr>
        <w:tab/>
        <w:t>INTRODUCTION</w:t>
      </w:r>
    </w:p>
    <w:p w:rsidR="00B266DF" w:rsidRPr="003556E4" w:rsidRDefault="00B266DF" w:rsidP="00ED3BAE">
      <w:pPr>
        <w:spacing w:after="0" w:line="240" w:lineRule="auto"/>
        <w:jc w:val="both"/>
        <w:rPr>
          <w:rFonts w:ascii="Times New Roman" w:hAnsi="Times New Roman"/>
          <w:b/>
        </w:rPr>
      </w:pPr>
    </w:p>
    <w:p w:rsidR="003B6168" w:rsidRDefault="00E854DF" w:rsidP="00ED3BAE">
      <w:pPr>
        <w:spacing w:after="0" w:line="240" w:lineRule="auto"/>
        <w:jc w:val="both"/>
        <w:rPr>
          <w:rFonts w:ascii="Times New Roman" w:hAnsi="Times New Roman"/>
        </w:rPr>
      </w:pPr>
      <w:r w:rsidRPr="003556E4">
        <w:rPr>
          <w:rFonts w:ascii="Times New Roman" w:hAnsi="Times New Roman"/>
          <w:bCs/>
        </w:rPr>
        <w:t>Agriculture continues to be the single most important source of livelihood for most rural Liberians.  O</w:t>
      </w:r>
      <w:r w:rsidRPr="003556E4">
        <w:rPr>
          <w:rStyle w:val="A4"/>
          <w:rFonts w:ascii="Times New Roman" w:hAnsi="Times New Roman"/>
        </w:rPr>
        <w:t>ver 75% of the country’s population of 3.5 million is engaged either directly or indirectly in smallholder subsistence agriculture, including livestock and fisheries.</w:t>
      </w:r>
      <w:r w:rsidR="00A75B4C">
        <w:rPr>
          <w:rStyle w:val="FootnoteReference"/>
          <w:rFonts w:ascii="Times New Roman" w:hAnsi="Times New Roman"/>
          <w:color w:val="000000"/>
        </w:rPr>
        <w:footnoteReference w:id="1"/>
      </w:r>
      <w:r w:rsidRPr="003556E4">
        <w:rPr>
          <w:rStyle w:val="A4"/>
          <w:rFonts w:ascii="Times New Roman" w:hAnsi="Times New Roman"/>
        </w:rPr>
        <w:t xml:space="preserve">  Women and children are particularly dependent on the agricultural sector.  </w:t>
      </w:r>
      <w:r w:rsidRPr="003556E4">
        <w:rPr>
          <w:rFonts w:ascii="Times New Roman" w:hAnsi="Times New Roman"/>
        </w:rPr>
        <w:t xml:space="preserve">Historically, performance of the sector has been limited by structural constraints, poor policies, and armed conflict.  </w:t>
      </w:r>
      <w:r w:rsidRPr="003556E4">
        <w:rPr>
          <w:rStyle w:val="A4"/>
          <w:rFonts w:ascii="Times New Roman" w:hAnsi="Times New Roman"/>
        </w:rPr>
        <w:t xml:space="preserve">Liberia’s </w:t>
      </w:r>
      <w:r w:rsidRPr="003556E4">
        <w:rPr>
          <w:rStyle w:val="A4"/>
          <w:rFonts w:ascii="Times New Roman" w:hAnsi="Times New Roman"/>
          <w:i/>
        </w:rPr>
        <w:t>Poverty Reduction Strategy</w:t>
      </w:r>
      <w:r w:rsidRPr="003556E4">
        <w:rPr>
          <w:rStyle w:val="A4"/>
          <w:rFonts w:ascii="Times New Roman" w:hAnsi="Times New Roman"/>
        </w:rPr>
        <w:t xml:space="preserve"> (2008) emphasizes</w:t>
      </w:r>
      <w:r w:rsidRPr="003556E4">
        <w:rPr>
          <w:rFonts w:ascii="Times New Roman" w:hAnsi="Times New Roman"/>
        </w:rPr>
        <w:t xml:space="preserve"> the centrality of the agricultural sector to reducing poverty, providing food security, and ensuring progress toward the Millennium Development Goals</w:t>
      </w:r>
      <w:r w:rsidR="00EA704B" w:rsidRPr="003556E4">
        <w:rPr>
          <w:rFonts w:ascii="Times New Roman" w:hAnsi="Times New Roman"/>
        </w:rPr>
        <w:t xml:space="preserve">.  To this end, the </w:t>
      </w:r>
      <w:r w:rsidR="00EA704B" w:rsidRPr="003556E4">
        <w:rPr>
          <w:rFonts w:ascii="Times New Roman" w:hAnsi="Times New Roman"/>
          <w:i/>
        </w:rPr>
        <w:t>Liberia Agriculture Sector Investment Program</w:t>
      </w:r>
      <w:r w:rsidR="00EA704B" w:rsidRPr="003556E4">
        <w:rPr>
          <w:rFonts w:ascii="Times New Roman" w:hAnsi="Times New Roman"/>
        </w:rPr>
        <w:t xml:space="preserve"> (</w:t>
      </w:r>
      <w:r w:rsidR="00720581" w:rsidRPr="003556E4">
        <w:rPr>
          <w:rFonts w:ascii="Times New Roman" w:hAnsi="Times New Roman"/>
        </w:rPr>
        <w:t xml:space="preserve">LASIP, </w:t>
      </w:r>
      <w:r w:rsidR="00EA704B" w:rsidRPr="003556E4">
        <w:rPr>
          <w:rFonts w:ascii="Times New Roman" w:hAnsi="Times New Roman"/>
        </w:rPr>
        <w:t>2010) outlines strategies</w:t>
      </w:r>
      <w:r w:rsidR="003B6168" w:rsidRPr="003556E4">
        <w:rPr>
          <w:rFonts w:ascii="Times New Roman" w:hAnsi="Times New Roman"/>
        </w:rPr>
        <w:t xml:space="preserve"> for rebuilding and decentralizing the Ministry of Agriculture (MOA).</w:t>
      </w:r>
    </w:p>
    <w:p w:rsidR="00B266DF" w:rsidRPr="003556E4" w:rsidRDefault="00B266DF" w:rsidP="00ED3BAE">
      <w:pPr>
        <w:spacing w:after="0" w:line="240" w:lineRule="auto"/>
        <w:jc w:val="both"/>
        <w:rPr>
          <w:rFonts w:ascii="Times New Roman" w:hAnsi="Times New Roman"/>
          <w:b/>
          <w:bCs/>
        </w:rPr>
      </w:pPr>
    </w:p>
    <w:p w:rsidR="00241A0C" w:rsidRPr="003556E4" w:rsidRDefault="00720581" w:rsidP="00ED3BAE">
      <w:pPr>
        <w:spacing w:after="0" w:line="240" w:lineRule="auto"/>
        <w:jc w:val="both"/>
        <w:rPr>
          <w:rFonts w:ascii="Times New Roman" w:hAnsi="Times New Roman"/>
        </w:rPr>
      </w:pPr>
      <w:r w:rsidRPr="003556E4">
        <w:rPr>
          <w:rFonts w:ascii="Times New Roman" w:hAnsi="Times New Roman"/>
        </w:rPr>
        <w:t>The National Legislature established the M</w:t>
      </w:r>
      <w:r w:rsidR="00F161F0" w:rsidRPr="003556E4">
        <w:rPr>
          <w:rFonts w:ascii="Times New Roman" w:hAnsi="Times New Roman"/>
        </w:rPr>
        <w:t>OA in 1972</w:t>
      </w:r>
      <w:r w:rsidR="00265E88">
        <w:rPr>
          <w:rFonts w:ascii="Times New Roman" w:hAnsi="Times New Roman"/>
        </w:rPr>
        <w:t>, charging</w:t>
      </w:r>
      <w:r w:rsidR="00F161F0" w:rsidRPr="003556E4">
        <w:rPr>
          <w:rFonts w:ascii="Times New Roman" w:hAnsi="Times New Roman"/>
        </w:rPr>
        <w:t xml:space="preserve"> it with achie</w:t>
      </w:r>
      <w:r w:rsidRPr="003556E4">
        <w:rPr>
          <w:rFonts w:ascii="Times New Roman" w:hAnsi="Times New Roman"/>
        </w:rPr>
        <w:t>ving self-suf</w:t>
      </w:r>
      <w:r w:rsidR="00F161F0" w:rsidRPr="003556E4">
        <w:rPr>
          <w:rFonts w:ascii="Times New Roman" w:hAnsi="Times New Roman"/>
        </w:rPr>
        <w:t>ficiency in food production, in</w:t>
      </w:r>
      <w:r w:rsidRPr="003556E4">
        <w:rPr>
          <w:rFonts w:ascii="Times New Roman" w:hAnsi="Times New Roman"/>
        </w:rPr>
        <w:t>creasing foreign exchange,</w:t>
      </w:r>
      <w:r w:rsidR="003B6168" w:rsidRPr="003556E4">
        <w:rPr>
          <w:rFonts w:ascii="Times New Roman" w:hAnsi="Times New Roman"/>
        </w:rPr>
        <w:t xml:space="preserve"> </w:t>
      </w:r>
      <w:r w:rsidR="00F161F0" w:rsidRPr="003556E4">
        <w:rPr>
          <w:rFonts w:ascii="Times New Roman" w:hAnsi="Times New Roman"/>
        </w:rPr>
        <w:t>increasing farmers’ income and purchasing power, an</w:t>
      </w:r>
      <w:r w:rsidR="00A350E8" w:rsidRPr="003556E4">
        <w:rPr>
          <w:rFonts w:ascii="Times New Roman" w:hAnsi="Times New Roman"/>
        </w:rPr>
        <w:t>d bringing farmers</w:t>
      </w:r>
      <w:r w:rsidR="00F161F0" w:rsidRPr="003556E4">
        <w:rPr>
          <w:rFonts w:ascii="Times New Roman" w:hAnsi="Times New Roman"/>
        </w:rPr>
        <w:t xml:space="preserve"> out of subsistence farming into commercial </w:t>
      </w:r>
      <w:r w:rsidR="00930FCD" w:rsidRPr="003556E4">
        <w:rPr>
          <w:rFonts w:ascii="Times New Roman" w:hAnsi="Times New Roman"/>
        </w:rPr>
        <w:t>f</w:t>
      </w:r>
      <w:r w:rsidR="00F161F0" w:rsidRPr="003556E4">
        <w:rPr>
          <w:rFonts w:ascii="Times New Roman" w:hAnsi="Times New Roman"/>
        </w:rPr>
        <w:t>arming</w:t>
      </w:r>
      <w:r w:rsidR="00784EEC">
        <w:rPr>
          <w:rFonts w:ascii="Times New Roman" w:hAnsi="Times New Roman"/>
        </w:rPr>
        <w:t>.</w:t>
      </w:r>
      <w:r w:rsidR="00F161F0" w:rsidRPr="003556E4">
        <w:rPr>
          <w:rStyle w:val="FootnoteReference"/>
          <w:rFonts w:ascii="Times New Roman" w:hAnsi="Times New Roman"/>
        </w:rPr>
        <w:footnoteReference w:id="2"/>
      </w:r>
      <w:r w:rsidR="00F161F0" w:rsidRPr="003556E4">
        <w:rPr>
          <w:rFonts w:ascii="Times New Roman" w:hAnsi="Times New Roman"/>
        </w:rPr>
        <w:t xml:space="preserve">  The </w:t>
      </w:r>
      <w:r w:rsidR="00265E88">
        <w:rPr>
          <w:rFonts w:ascii="Times New Roman" w:hAnsi="Times New Roman"/>
        </w:rPr>
        <w:t xml:space="preserve">2009 </w:t>
      </w:r>
      <w:r w:rsidR="00F161F0" w:rsidRPr="003556E4">
        <w:rPr>
          <w:rFonts w:ascii="Times New Roman" w:hAnsi="Times New Roman"/>
        </w:rPr>
        <w:t>proposed MOA reform and decentralization process</w:t>
      </w:r>
      <w:r w:rsidR="00F161F0" w:rsidRPr="003556E4">
        <w:rPr>
          <w:rStyle w:val="FootnoteReference"/>
          <w:rFonts w:ascii="Times New Roman" w:hAnsi="Times New Roman"/>
        </w:rPr>
        <w:footnoteReference w:id="3"/>
      </w:r>
      <w:r w:rsidR="00F161F0" w:rsidRPr="003556E4">
        <w:rPr>
          <w:rFonts w:ascii="Times New Roman" w:hAnsi="Times New Roman"/>
        </w:rPr>
        <w:t xml:space="preserve"> </w:t>
      </w:r>
      <w:r w:rsidR="00930FCD" w:rsidRPr="003556E4">
        <w:rPr>
          <w:rFonts w:ascii="Times New Roman" w:hAnsi="Times New Roman"/>
        </w:rPr>
        <w:t>updates the mandate</w:t>
      </w:r>
      <w:r w:rsidR="00A350E8" w:rsidRPr="003556E4">
        <w:rPr>
          <w:rFonts w:ascii="Times New Roman" w:hAnsi="Times New Roman"/>
        </w:rPr>
        <w:t xml:space="preserve"> to include</w:t>
      </w:r>
      <w:r w:rsidR="00930FCD" w:rsidRPr="003556E4">
        <w:rPr>
          <w:rFonts w:ascii="Times New Roman" w:hAnsi="Times New Roman"/>
        </w:rPr>
        <w:t>: The MOA promotes agricultural development, food security</w:t>
      </w:r>
      <w:r w:rsidR="00784EEC">
        <w:rPr>
          <w:rFonts w:ascii="Times New Roman" w:hAnsi="Times New Roman"/>
        </w:rPr>
        <w:t>,</w:t>
      </w:r>
      <w:r w:rsidR="00930FCD" w:rsidRPr="003556E4">
        <w:rPr>
          <w:rFonts w:ascii="Times New Roman" w:hAnsi="Times New Roman"/>
        </w:rPr>
        <w:t xml:space="preserve"> and growth.  In pursuit of this mandate, the MOA prov</w:t>
      </w:r>
      <w:r w:rsidR="00A350E8" w:rsidRPr="003556E4">
        <w:rPr>
          <w:rFonts w:ascii="Times New Roman" w:hAnsi="Times New Roman"/>
        </w:rPr>
        <w:t>ides</w:t>
      </w:r>
      <w:r w:rsidR="00930FCD" w:rsidRPr="003556E4">
        <w:rPr>
          <w:rFonts w:ascii="Times New Roman" w:hAnsi="Times New Roman"/>
        </w:rPr>
        <w:t xml:space="preserve"> the policy framework, helps direct agricultural related investments, provides the support services necessary to make agriculture and agri-based enterprises profitable, sustainable, and help</w:t>
      </w:r>
      <w:r w:rsidR="00EB58AB">
        <w:rPr>
          <w:rFonts w:ascii="Times New Roman" w:hAnsi="Times New Roman"/>
        </w:rPr>
        <w:t>s</w:t>
      </w:r>
      <w:r w:rsidR="00930FCD" w:rsidRPr="003556E4">
        <w:rPr>
          <w:rFonts w:ascii="Times New Roman" w:hAnsi="Times New Roman"/>
        </w:rPr>
        <w:t xml:space="preserve"> spread the benefits of development to the poor thereby enabling the country and its people to prosper.</w:t>
      </w:r>
      <w:r w:rsidR="00930FCD" w:rsidRPr="003556E4">
        <w:rPr>
          <w:rStyle w:val="FootnoteReference"/>
          <w:rFonts w:ascii="Times New Roman" w:hAnsi="Times New Roman"/>
        </w:rPr>
        <w:footnoteReference w:id="4"/>
      </w:r>
      <w:r w:rsidR="00930FCD" w:rsidRPr="003556E4">
        <w:rPr>
          <w:rFonts w:ascii="Times New Roman" w:hAnsi="Times New Roman"/>
        </w:rPr>
        <w:t xml:space="preserve">  </w:t>
      </w:r>
    </w:p>
    <w:p w:rsidR="00241A0C" w:rsidRPr="003556E4" w:rsidRDefault="00241A0C" w:rsidP="00ED3BAE">
      <w:pPr>
        <w:spacing w:after="0" w:line="240" w:lineRule="auto"/>
        <w:jc w:val="both"/>
        <w:rPr>
          <w:rFonts w:ascii="Times New Roman" w:hAnsi="Times New Roman"/>
        </w:rPr>
      </w:pPr>
    </w:p>
    <w:p w:rsidR="001D3B96" w:rsidRPr="003556E4" w:rsidRDefault="00A350E8" w:rsidP="00ED3BAE">
      <w:pPr>
        <w:spacing w:after="0" w:line="240" w:lineRule="auto"/>
        <w:jc w:val="both"/>
        <w:rPr>
          <w:rFonts w:ascii="Times New Roman" w:hAnsi="Times New Roman"/>
        </w:rPr>
      </w:pPr>
      <w:r w:rsidRPr="003556E4">
        <w:rPr>
          <w:rFonts w:ascii="Times New Roman" w:hAnsi="Times New Roman"/>
        </w:rPr>
        <w:t xml:space="preserve">A critical </w:t>
      </w:r>
      <w:r w:rsidR="000136D3" w:rsidRPr="003556E4">
        <w:rPr>
          <w:rFonts w:ascii="Times New Roman" w:hAnsi="Times New Roman"/>
        </w:rPr>
        <w:t>activity</w:t>
      </w:r>
      <w:r w:rsidR="00241A0C" w:rsidRPr="003556E4">
        <w:rPr>
          <w:rFonts w:ascii="Times New Roman" w:hAnsi="Times New Roman"/>
        </w:rPr>
        <w:t xml:space="preserve"> of the MOA is to create the enabling environment for timely provision of efficient and effective agriculture </w:t>
      </w:r>
      <w:r w:rsidR="00981DC8" w:rsidRPr="003556E4">
        <w:rPr>
          <w:rFonts w:ascii="Times New Roman" w:hAnsi="Times New Roman"/>
        </w:rPr>
        <w:t>extension services</w:t>
      </w:r>
      <w:r w:rsidR="00241A0C" w:rsidRPr="003556E4">
        <w:rPr>
          <w:rFonts w:ascii="Times New Roman" w:hAnsi="Times New Roman"/>
        </w:rPr>
        <w:t xml:space="preserve">. </w:t>
      </w:r>
      <w:r w:rsidR="00F5295A" w:rsidRPr="003556E4">
        <w:rPr>
          <w:rFonts w:ascii="Times New Roman" w:hAnsi="Times New Roman"/>
        </w:rPr>
        <w:t>Well-</w:t>
      </w:r>
      <w:r w:rsidR="00241A0C" w:rsidRPr="003556E4">
        <w:rPr>
          <w:rFonts w:ascii="Times New Roman" w:hAnsi="Times New Roman"/>
        </w:rPr>
        <w:t xml:space="preserve">coordinated </w:t>
      </w:r>
      <w:r w:rsidR="00981DC8" w:rsidRPr="003556E4">
        <w:rPr>
          <w:rFonts w:ascii="Times New Roman" w:hAnsi="Times New Roman"/>
        </w:rPr>
        <w:t>extension services</w:t>
      </w:r>
      <w:r w:rsidR="00241A0C" w:rsidRPr="003556E4">
        <w:rPr>
          <w:rFonts w:ascii="Times New Roman" w:hAnsi="Times New Roman"/>
        </w:rPr>
        <w:t xml:space="preserve"> help</w:t>
      </w:r>
      <w:r w:rsidR="00F5295A" w:rsidRPr="003556E4">
        <w:rPr>
          <w:rFonts w:ascii="Times New Roman" w:hAnsi="Times New Roman"/>
        </w:rPr>
        <w:t xml:space="preserve"> accelerate</w:t>
      </w:r>
      <w:r w:rsidR="00241A0C" w:rsidRPr="003556E4">
        <w:rPr>
          <w:rFonts w:ascii="Times New Roman" w:hAnsi="Times New Roman"/>
        </w:rPr>
        <w:t xml:space="preserve"> the process of technological </w:t>
      </w:r>
      <w:r w:rsidR="00F5295A" w:rsidRPr="003556E4">
        <w:rPr>
          <w:rFonts w:ascii="Times New Roman" w:hAnsi="Times New Roman"/>
        </w:rPr>
        <w:t xml:space="preserve">change </w:t>
      </w:r>
      <w:r w:rsidR="00241A0C" w:rsidRPr="003556E4">
        <w:rPr>
          <w:rFonts w:ascii="Times New Roman" w:hAnsi="Times New Roman"/>
        </w:rPr>
        <w:t>and socio-economic development</w:t>
      </w:r>
      <w:r w:rsidR="00F5295A" w:rsidRPr="003556E4">
        <w:rPr>
          <w:rFonts w:ascii="Times New Roman" w:hAnsi="Times New Roman"/>
        </w:rPr>
        <w:t xml:space="preserve">.  </w:t>
      </w:r>
      <w:r w:rsidR="00981DC8" w:rsidRPr="003556E4">
        <w:rPr>
          <w:rFonts w:ascii="Times New Roman" w:hAnsi="Times New Roman"/>
        </w:rPr>
        <w:t xml:space="preserve">Extension </w:t>
      </w:r>
      <w:r w:rsidR="00241A0C" w:rsidRPr="003556E4">
        <w:rPr>
          <w:rFonts w:ascii="Times New Roman" w:hAnsi="Times New Roman"/>
        </w:rPr>
        <w:t>enable</w:t>
      </w:r>
      <w:r w:rsidR="00981DC8" w:rsidRPr="003556E4">
        <w:rPr>
          <w:rFonts w:ascii="Times New Roman" w:hAnsi="Times New Roman"/>
        </w:rPr>
        <w:t>s</w:t>
      </w:r>
      <w:r w:rsidR="00241A0C" w:rsidRPr="003556E4">
        <w:rPr>
          <w:rFonts w:ascii="Times New Roman" w:hAnsi="Times New Roman"/>
        </w:rPr>
        <w:t xml:space="preserve"> producers, processors, and other agriculture stakeholders to make efficient, productive</w:t>
      </w:r>
      <w:r w:rsidR="001D2701" w:rsidRPr="003556E4">
        <w:rPr>
          <w:rFonts w:ascii="Times New Roman" w:hAnsi="Times New Roman"/>
        </w:rPr>
        <w:t>,</w:t>
      </w:r>
      <w:r w:rsidR="00241A0C" w:rsidRPr="003556E4">
        <w:rPr>
          <w:rFonts w:ascii="Times New Roman" w:hAnsi="Times New Roman"/>
        </w:rPr>
        <w:t xml:space="preserve"> and sustainable use of their agricultural resources.   </w:t>
      </w:r>
    </w:p>
    <w:p w:rsidR="001D3B96" w:rsidRPr="003556E4" w:rsidRDefault="001D3B96" w:rsidP="00ED3BAE">
      <w:pPr>
        <w:spacing w:after="0" w:line="240" w:lineRule="auto"/>
        <w:jc w:val="both"/>
        <w:rPr>
          <w:rFonts w:ascii="Times New Roman" w:hAnsi="Times New Roman"/>
        </w:rPr>
      </w:pPr>
    </w:p>
    <w:p w:rsidR="00981DC8" w:rsidRPr="003556E4" w:rsidRDefault="001D3B96" w:rsidP="00ED3BAE">
      <w:pPr>
        <w:spacing w:after="0" w:line="240" w:lineRule="auto"/>
        <w:jc w:val="both"/>
        <w:rPr>
          <w:rFonts w:ascii="Times New Roman" w:hAnsi="Times New Roman"/>
        </w:rPr>
      </w:pPr>
      <w:r w:rsidRPr="003556E4">
        <w:rPr>
          <w:rFonts w:ascii="Times New Roman" w:hAnsi="Times New Roman"/>
        </w:rPr>
        <w:t>Liberia’s National Agriculture Extension Service was established in 1960.  It was a conventional top-down extension system that existed, with a limited number of extension officers attempting to pass on new technologies developed by researchers to the mass of small-skilled farmers scattered across the country.  It was generally supply-driven with heavy emphasis on tra</w:t>
      </w:r>
      <w:r w:rsidR="00A350E8" w:rsidRPr="003556E4">
        <w:rPr>
          <w:rFonts w:ascii="Times New Roman" w:hAnsi="Times New Roman"/>
        </w:rPr>
        <w:t>nsfer of technology.  It aimed to persuade</w:t>
      </w:r>
      <w:r w:rsidRPr="003556E4">
        <w:rPr>
          <w:rFonts w:ascii="Times New Roman" w:hAnsi="Times New Roman"/>
        </w:rPr>
        <w:t xml:space="preserve"> farmers to adopt available technologies </w:t>
      </w:r>
      <w:r w:rsidR="001D2701" w:rsidRPr="003556E4">
        <w:rPr>
          <w:rFonts w:ascii="Times New Roman" w:hAnsi="Times New Roman"/>
        </w:rPr>
        <w:t xml:space="preserve">and had limited </w:t>
      </w:r>
      <w:r w:rsidR="00A350E8" w:rsidRPr="003556E4">
        <w:rPr>
          <w:rFonts w:ascii="Times New Roman" w:hAnsi="Times New Roman"/>
        </w:rPr>
        <w:t xml:space="preserve">feedback mechanisms </w:t>
      </w:r>
      <w:r w:rsidR="001D2701" w:rsidRPr="003556E4">
        <w:rPr>
          <w:rFonts w:ascii="Times New Roman" w:hAnsi="Times New Roman"/>
        </w:rPr>
        <w:t>on the value of extension</w:t>
      </w:r>
      <w:r w:rsidR="00A350E8" w:rsidRPr="003556E4">
        <w:rPr>
          <w:rFonts w:ascii="Times New Roman" w:hAnsi="Times New Roman"/>
        </w:rPr>
        <w:t>.</w:t>
      </w:r>
      <w:r w:rsidRPr="003556E4">
        <w:rPr>
          <w:rFonts w:ascii="Times New Roman" w:hAnsi="Times New Roman"/>
        </w:rPr>
        <w:t xml:space="preserve">  As in most developing countries, especially in sub-Saharan Africa, the extension system was woefully under-</w:t>
      </w:r>
      <w:r w:rsidR="00A350E8" w:rsidRPr="003556E4">
        <w:rPr>
          <w:rFonts w:ascii="Times New Roman" w:hAnsi="Times New Roman"/>
        </w:rPr>
        <w:t>resourced and the methods used (</w:t>
      </w:r>
      <w:r w:rsidRPr="003556E4">
        <w:rPr>
          <w:rFonts w:ascii="Times New Roman" w:hAnsi="Times New Roman"/>
        </w:rPr>
        <w:t>typically the World Bank supported “T</w:t>
      </w:r>
      <w:r w:rsidR="00A350E8" w:rsidRPr="003556E4">
        <w:rPr>
          <w:rFonts w:ascii="Times New Roman" w:hAnsi="Times New Roman"/>
        </w:rPr>
        <w:t>raining and Visit” System)</w:t>
      </w:r>
      <w:r w:rsidRPr="003556E4">
        <w:rPr>
          <w:rFonts w:ascii="Times New Roman" w:hAnsi="Times New Roman"/>
        </w:rPr>
        <w:t xml:space="preserve"> proved ineffective in exposing a large number of farmers to new technologies and practices.  The system completely collapsed during the period of the Civil War.  </w:t>
      </w:r>
      <w:r w:rsidR="00020689">
        <w:rPr>
          <w:rFonts w:ascii="Times New Roman" w:hAnsi="Times New Roman"/>
        </w:rPr>
        <w:t>Following the Civil War</w:t>
      </w:r>
      <w:r w:rsidR="006D2F5F" w:rsidRPr="003556E4">
        <w:rPr>
          <w:rFonts w:ascii="Times New Roman" w:hAnsi="Times New Roman"/>
        </w:rPr>
        <w:t xml:space="preserve">, the International Community provided </w:t>
      </w:r>
      <w:r w:rsidR="00A350E8" w:rsidRPr="003556E4">
        <w:rPr>
          <w:rFonts w:ascii="Times New Roman" w:hAnsi="Times New Roman"/>
        </w:rPr>
        <w:t xml:space="preserve">extension </w:t>
      </w:r>
      <w:r w:rsidR="006D2F5F" w:rsidRPr="003556E4">
        <w:rPr>
          <w:rFonts w:ascii="Times New Roman" w:hAnsi="Times New Roman"/>
        </w:rPr>
        <w:t>assistance, largely through non-governmenta</w:t>
      </w:r>
      <w:r w:rsidR="00D9067D" w:rsidRPr="003556E4">
        <w:rPr>
          <w:rFonts w:ascii="Times New Roman" w:hAnsi="Times New Roman"/>
        </w:rPr>
        <w:t xml:space="preserve">l </w:t>
      </w:r>
      <w:r w:rsidR="00D757A2">
        <w:rPr>
          <w:rFonts w:ascii="Times New Roman" w:hAnsi="Times New Roman"/>
        </w:rPr>
        <w:t xml:space="preserve">organizations </w:t>
      </w:r>
      <w:r w:rsidR="00D9067D" w:rsidRPr="003556E4">
        <w:rPr>
          <w:rFonts w:ascii="Times New Roman" w:hAnsi="Times New Roman"/>
        </w:rPr>
        <w:t xml:space="preserve">(NGO) and United Nations </w:t>
      </w:r>
      <w:r w:rsidR="006D2F5F" w:rsidRPr="003556E4">
        <w:rPr>
          <w:rFonts w:ascii="Times New Roman" w:hAnsi="Times New Roman"/>
        </w:rPr>
        <w:t xml:space="preserve">Agencies.  </w:t>
      </w:r>
    </w:p>
    <w:p w:rsidR="00981DC8" w:rsidRPr="003556E4" w:rsidRDefault="00981DC8" w:rsidP="00ED3BAE">
      <w:pPr>
        <w:spacing w:after="0" w:line="240" w:lineRule="auto"/>
        <w:jc w:val="both"/>
        <w:rPr>
          <w:rFonts w:ascii="Times New Roman" w:hAnsi="Times New Roman"/>
        </w:rPr>
      </w:pPr>
    </w:p>
    <w:p w:rsidR="00265E88" w:rsidRDefault="00265E88" w:rsidP="00ED3BAE">
      <w:pPr>
        <w:spacing w:after="0" w:line="240" w:lineRule="auto"/>
        <w:jc w:val="both"/>
        <w:rPr>
          <w:rFonts w:ascii="Times New Roman" w:hAnsi="Times New Roman"/>
          <w:b/>
        </w:rPr>
      </w:pPr>
    </w:p>
    <w:p w:rsidR="00265E88" w:rsidRDefault="00265E88" w:rsidP="00ED3BAE">
      <w:pPr>
        <w:spacing w:after="0" w:line="240" w:lineRule="auto"/>
        <w:jc w:val="both"/>
        <w:rPr>
          <w:rFonts w:ascii="Times New Roman" w:hAnsi="Times New Roman"/>
          <w:b/>
        </w:rPr>
      </w:pPr>
    </w:p>
    <w:p w:rsidR="001F2AB6" w:rsidRPr="003556E4" w:rsidRDefault="001F2AB6" w:rsidP="00ED3BAE">
      <w:pPr>
        <w:spacing w:after="0" w:line="240" w:lineRule="auto"/>
        <w:jc w:val="both"/>
        <w:rPr>
          <w:rFonts w:ascii="Times New Roman" w:hAnsi="Times New Roman"/>
          <w:b/>
        </w:rPr>
      </w:pPr>
      <w:r w:rsidRPr="003556E4">
        <w:rPr>
          <w:rFonts w:ascii="Times New Roman" w:hAnsi="Times New Roman"/>
          <w:b/>
        </w:rPr>
        <w:t>1.1</w:t>
      </w:r>
      <w:r w:rsidRPr="003556E4">
        <w:rPr>
          <w:rFonts w:ascii="Times New Roman" w:hAnsi="Times New Roman"/>
          <w:b/>
        </w:rPr>
        <w:tab/>
        <w:t xml:space="preserve">Current Status of </w:t>
      </w:r>
      <w:r w:rsidR="00006FA7">
        <w:rPr>
          <w:rFonts w:ascii="Times New Roman" w:hAnsi="Times New Roman"/>
          <w:b/>
        </w:rPr>
        <w:t>Extension Services in Liberia</w:t>
      </w:r>
    </w:p>
    <w:p w:rsidR="001F2AB6" w:rsidRPr="003556E4" w:rsidRDefault="001F2AB6" w:rsidP="00ED3BAE">
      <w:pPr>
        <w:spacing w:after="0" w:line="240" w:lineRule="auto"/>
        <w:jc w:val="both"/>
        <w:rPr>
          <w:rFonts w:ascii="Times New Roman" w:hAnsi="Times New Roman"/>
        </w:rPr>
      </w:pPr>
    </w:p>
    <w:p w:rsidR="001F2AB6" w:rsidRPr="003556E4" w:rsidRDefault="00EA2245" w:rsidP="00ED3BAE">
      <w:pPr>
        <w:spacing w:after="0" w:line="240" w:lineRule="auto"/>
        <w:jc w:val="both"/>
        <w:rPr>
          <w:rFonts w:ascii="Times New Roman" w:hAnsi="Times New Roman"/>
        </w:rPr>
      </w:pPr>
      <w:r w:rsidRPr="003556E4">
        <w:rPr>
          <w:rFonts w:ascii="Times New Roman" w:hAnsi="Times New Roman"/>
        </w:rPr>
        <w:t xml:space="preserve">The rebuilding </w:t>
      </w:r>
      <w:r w:rsidR="00286120">
        <w:rPr>
          <w:rFonts w:ascii="Times New Roman" w:hAnsi="Times New Roman"/>
        </w:rPr>
        <w:t>of extension services is</w:t>
      </w:r>
      <w:r w:rsidRPr="003556E4">
        <w:rPr>
          <w:rFonts w:ascii="Times New Roman" w:hAnsi="Times New Roman"/>
        </w:rPr>
        <w:t xml:space="preserve"> currently in process.  </w:t>
      </w:r>
      <w:r w:rsidR="001F2AB6" w:rsidRPr="003556E4">
        <w:rPr>
          <w:rFonts w:ascii="Times New Roman" w:hAnsi="Times New Roman"/>
        </w:rPr>
        <w:t>Within the current structure of the MOA, the Department of Regional Development, Research and Extension (DRDRE) houses public sector agricultur</w:t>
      </w:r>
      <w:r w:rsidR="00784EEC">
        <w:rPr>
          <w:rFonts w:ascii="Times New Roman" w:hAnsi="Times New Roman"/>
        </w:rPr>
        <w:t>al</w:t>
      </w:r>
      <w:r w:rsidR="001F2AB6" w:rsidRPr="003556E4">
        <w:rPr>
          <w:rFonts w:ascii="Times New Roman" w:hAnsi="Times New Roman"/>
        </w:rPr>
        <w:t xml:space="preserve"> extension.  </w:t>
      </w:r>
      <w:r w:rsidRPr="003556E4">
        <w:rPr>
          <w:rFonts w:ascii="Times New Roman" w:hAnsi="Times New Roman"/>
        </w:rPr>
        <w:t>Though currently understaffed</w:t>
      </w:r>
      <w:r w:rsidR="00286120">
        <w:rPr>
          <w:rFonts w:ascii="Times New Roman" w:hAnsi="Times New Roman"/>
        </w:rPr>
        <w:t xml:space="preserve"> and underfunded</w:t>
      </w:r>
      <w:r w:rsidRPr="003556E4">
        <w:rPr>
          <w:rFonts w:ascii="Times New Roman" w:hAnsi="Times New Roman"/>
        </w:rPr>
        <w:t>, the MOA has made progress in and is committed to decentralizing staff to the county and district-levels. MOA County Agriculture Coordinators represent the MOA at the county level</w:t>
      </w:r>
      <w:r w:rsidR="00265E88">
        <w:rPr>
          <w:rFonts w:ascii="Times New Roman" w:hAnsi="Times New Roman"/>
        </w:rPr>
        <w:t>.</w:t>
      </w:r>
      <w:r w:rsidRPr="003556E4">
        <w:rPr>
          <w:rFonts w:ascii="Times New Roman" w:hAnsi="Times New Roman"/>
        </w:rPr>
        <w:t xml:space="preserve"> </w:t>
      </w:r>
      <w:r w:rsidR="00265E88">
        <w:rPr>
          <w:rFonts w:ascii="Times New Roman" w:hAnsi="Times New Roman"/>
        </w:rPr>
        <w:t xml:space="preserve"> Plans include posting </w:t>
      </w:r>
      <w:r w:rsidRPr="003556E4">
        <w:rPr>
          <w:rFonts w:ascii="Times New Roman" w:hAnsi="Times New Roman"/>
        </w:rPr>
        <w:t>District Agriculture Officer</w:t>
      </w:r>
      <w:r w:rsidR="00265E88">
        <w:rPr>
          <w:rFonts w:ascii="Times New Roman" w:hAnsi="Times New Roman"/>
        </w:rPr>
        <w:t>s</w:t>
      </w:r>
      <w:r w:rsidRPr="003556E4">
        <w:rPr>
          <w:rFonts w:ascii="Times New Roman" w:hAnsi="Times New Roman"/>
        </w:rPr>
        <w:t xml:space="preserve"> at all </w:t>
      </w:r>
      <w:r w:rsidR="00627677" w:rsidRPr="003556E4">
        <w:rPr>
          <w:rFonts w:ascii="Times New Roman" w:hAnsi="Times New Roman"/>
        </w:rPr>
        <w:t xml:space="preserve">district levels and </w:t>
      </w:r>
      <w:r w:rsidR="00265E88">
        <w:rPr>
          <w:rFonts w:ascii="Times New Roman" w:hAnsi="Times New Roman"/>
        </w:rPr>
        <w:t xml:space="preserve">various </w:t>
      </w:r>
      <w:r w:rsidR="00627677" w:rsidRPr="003556E4">
        <w:rPr>
          <w:rFonts w:ascii="Times New Roman" w:hAnsi="Times New Roman"/>
        </w:rPr>
        <w:t>subject-matter specialists (i.e., tree crops, livestock, aquaculture, quarantine</w:t>
      </w:r>
      <w:r w:rsidR="00EB58AB">
        <w:rPr>
          <w:rFonts w:ascii="Times New Roman" w:hAnsi="Times New Roman"/>
        </w:rPr>
        <w:t>, M&amp;E</w:t>
      </w:r>
      <w:r w:rsidR="00627677" w:rsidRPr="003556E4">
        <w:rPr>
          <w:rFonts w:ascii="Times New Roman" w:hAnsi="Times New Roman"/>
        </w:rPr>
        <w:t xml:space="preserve">) </w:t>
      </w:r>
      <w:r w:rsidR="00265E88">
        <w:rPr>
          <w:rFonts w:ascii="Times New Roman" w:hAnsi="Times New Roman"/>
        </w:rPr>
        <w:t>at county or</w:t>
      </w:r>
      <w:r w:rsidR="00771A0E">
        <w:rPr>
          <w:rFonts w:ascii="Times New Roman" w:hAnsi="Times New Roman"/>
        </w:rPr>
        <w:t xml:space="preserve"> district-levels.</w:t>
      </w:r>
      <w:r w:rsidR="00627677" w:rsidRPr="003556E4">
        <w:rPr>
          <w:rFonts w:ascii="Times New Roman" w:hAnsi="Times New Roman"/>
        </w:rPr>
        <w:t xml:space="preserve"> </w:t>
      </w:r>
      <w:r w:rsidRPr="003556E4">
        <w:rPr>
          <w:rFonts w:ascii="Times New Roman" w:hAnsi="Times New Roman"/>
        </w:rPr>
        <w:t xml:space="preserve">Notwithstanding progress, the current public extension approach reflects historical legacy whereby the training that is provided to farmers is delivered by district-based extension agents in the prevailing hierarchical linear ‘expert teaching mode’.  </w:t>
      </w:r>
      <w:r w:rsidR="001F2AB6" w:rsidRPr="003556E4">
        <w:rPr>
          <w:rFonts w:ascii="Times New Roman" w:hAnsi="Times New Roman"/>
        </w:rPr>
        <w:t>Public sector extension faces numerous limitations, in particular, insufficient generation, dissemination and adoption of improved agricultural technologies and practices; lack of client-based program planning, implementation, and monitoring and evaluation mechanisms; inadequate human, infrastructural, and institutional capacities; and constrained funding.  Public sector extension is unable to reach all those in the agricultural sector who could benefit from agricultural extension information and advice.</w:t>
      </w:r>
    </w:p>
    <w:p w:rsidR="001F2AB6" w:rsidRPr="003556E4" w:rsidRDefault="001F2AB6" w:rsidP="00ED3BAE">
      <w:pPr>
        <w:spacing w:after="0" w:line="240" w:lineRule="auto"/>
        <w:jc w:val="both"/>
        <w:rPr>
          <w:rFonts w:ascii="Times New Roman" w:hAnsi="Times New Roman"/>
        </w:rPr>
      </w:pPr>
    </w:p>
    <w:p w:rsidR="00627677" w:rsidRPr="003556E4" w:rsidRDefault="00627677" w:rsidP="00ED3BAE">
      <w:pPr>
        <w:spacing w:after="0" w:line="240" w:lineRule="auto"/>
        <w:jc w:val="both"/>
        <w:rPr>
          <w:rFonts w:ascii="Times New Roman" w:hAnsi="Times New Roman"/>
        </w:rPr>
      </w:pPr>
      <w:r w:rsidRPr="003556E4">
        <w:rPr>
          <w:rFonts w:ascii="Times New Roman" w:hAnsi="Times New Roman"/>
        </w:rPr>
        <w:t xml:space="preserve">There are now </w:t>
      </w:r>
      <w:r w:rsidR="00801D3A" w:rsidRPr="003556E4">
        <w:rPr>
          <w:rFonts w:ascii="Times New Roman" w:hAnsi="Times New Roman"/>
        </w:rPr>
        <w:t xml:space="preserve">public, </w:t>
      </w:r>
      <w:r w:rsidRPr="003556E4">
        <w:rPr>
          <w:rFonts w:ascii="Times New Roman" w:hAnsi="Times New Roman"/>
        </w:rPr>
        <w:t xml:space="preserve">some </w:t>
      </w:r>
      <w:r w:rsidR="00801D3A" w:rsidRPr="003556E4">
        <w:rPr>
          <w:rFonts w:ascii="Times New Roman" w:hAnsi="Times New Roman"/>
        </w:rPr>
        <w:t xml:space="preserve">private, and </w:t>
      </w:r>
      <w:r w:rsidRPr="003556E4">
        <w:rPr>
          <w:rFonts w:ascii="Times New Roman" w:hAnsi="Times New Roman"/>
        </w:rPr>
        <w:t xml:space="preserve">an abundance of </w:t>
      </w:r>
      <w:r w:rsidR="00801D3A" w:rsidRPr="003556E4">
        <w:rPr>
          <w:rFonts w:ascii="Times New Roman" w:hAnsi="Times New Roman"/>
        </w:rPr>
        <w:t xml:space="preserve">civil society actors engaged in extension activities in Liberia. </w:t>
      </w:r>
      <w:r w:rsidR="001F2AB6" w:rsidRPr="003556E4">
        <w:rPr>
          <w:rFonts w:ascii="Times New Roman" w:hAnsi="Times New Roman"/>
        </w:rPr>
        <w:t>NGOs and special projec</w:t>
      </w:r>
      <w:r w:rsidR="00EA2245" w:rsidRPr="003556E4">
        <w:rPr>
          <w:rFonts w:ascii="Times New Roman" w:hAnsi="Times New Roman"/>
        </w:rPr>
        <w:t xml:space="preserve">ts provide a </w:t>
      </w:r>
      <w:r w:rsidRPr="003556E4">
        <w:rPr>
          <w:rFonts w:ascii="Times New Roman" w:hAnsi="Times New Roman"/>
        </w:rPr>
        <w:t xml:space="preserve">very </w:t>
      </w:r>
      <w:r w:rsidR="00EA2245" w:rsidRPr="003556E4">
        <w:rPr>
          <w:rFonts w:ascii="Times New Roman" w:hAnsi="Times New Roman"/>
        </w:rPr>
        <w:t xml:space="preserve">significant amount of </w:t>
      </w:r>
      <w:r w:rsidRPr="003556E4">
        <w:rPr>
          <w:rFonts w:ascii="Times New Roman" w:hAnsi="Times New Roman"/>
        </w:rPr>
        <w:t xml:space="preserve">the </w:t>
      </w:r>
      <w:r w:rsidR="001F2AB6" w:rsidRPr="003556E4">
        <w:rPr>
          <w:rFonts w:ascii="Times New Roman" w:hAnsi="Times New Roman"/>
        </w:rPr>
        <w:t>extension services</w:t>
      </w:r>
      <w:r w:rsidRPr="003556E4">
        <w:rPr>
          <w:rFonts w:ascii="Times New Roman" w:hAnsi="Times New Roman"/>
        </w:rPr>
        <w:t xml:space="preserve"> across the country</w:t>
      </w:r>
      <w:r w:rsidR="001F2AB6" w:rsidRPr="003556E4">
        <w:rPr>
          <w:rFonts w:ascii="Times New Roman" w:hAnsi="Times New Roman"/>
        </w:rPr>
        <w:t xml:space="preserve">, giving them a wide scope in </w:t>
      </w:r>
      <w:r w:rsidR="00286120">
        <w:rPr>
          <w:rFonts w:ascii="Times New Roman" w:hAnsi="Times New Roman"/>
        </w:rPr>
        <w:t xml:space="preserve">approach, </w:t>
      </w:r>
      <w:r w:rsidR="001F2AB6" w:rsidRPr="003556E4">
        <w:rPr>
          <w:rFonts w:ascii="Times New Roman" w:hAnsi="Times New Roman"/>
        </w:rPr>
        <w:t>range</w:t>
      </w:r>
      <w:r w:rsidR="00286120">
        <w:rPr>
          <w:rFonts w:ascii="Times New Roman" w:hAnsi="Times New Roman"/>
        </w:rPr>
        <w:t>,</w:t>
      </w:r>
      <w:r w:rsidR="001F2AB6" w:rsidRPr="003556E4">
        <w:rPr>
          <w:rFonts w:ascii="Times New Roman" w:hAnsi="Times New Roman"/>
        </w:rPr>
        <w:t xml:space="preserve"> and reach of t</w:t>
      </w:r>
      <w:r w:rsidR="00EA2245" w:rsidRPr="003556E4">
        <w:rPr>
          <w:rFonts w:ascii="Times New Roman" w:hAnsi="Times New Roman"/>
        </w:rPr>
        <w:t xml:space="preserve">heir activities.  </w:t>
      </w:r>
    </w:p>
    <w:p w:rsidR="00627677" w:rsidRPr="003556E4" w:rsidRDefault="00627677" w:rsidP="00ED3BAE">
      <w:pPr>
        <w:spacing w:after="0" w:line="240" w:lineRule="auto"/>
        <w:jc w:val="both"/>
        <w:rPr>
          <w:rFonts w:ascii="Times New Roman" w:hAnsi="Times New Roman"/>
        </w:rPr>
      </w:pPr>
    </w:p>
    <w:p w:rsidR="001A2F4B" w:rsidRDefault="001F2AB6" w:rsidP="00ED3BAE">
      <w:pPr>
        <w:spacing w:after="0" w:line="240" w:lineRule="auto"/>
        <w:jc w:val="both"/>
        <w:rPr>
          <w:rFonts w:ascii="Times New Roman" w:hAnsi="Times New Roman"/>
        </w:rPr>
      </w:pPr>
      <w:r w:rsidRPr="003556E4">
        <w:rPr>
          <w:rFonts w:ascii="Times New Roman" w:hAnsi="Times New Roman"/>
        </w:rPr>
        <w:t xml:space="preserve">Extension services in Liberia continue to be preoccupied with the supply and distribution of agricultural inputs and equipment to farmers (often free of charge).  There is insufficient monitoring </w:t>
      </w:r>
      <w:r w:rsidR="00286120">
        <w:rPr>
          <w:rFonts w:ascii="Times New Roman" w:hAnsi="Times New Roman"/>
        </w:rPr>
        <w:t xml:space="preserve">and evaluation </w:t>
      </w:r>
      <w:r w:rsidRPr="003556E4">
        <w:rPr>
          <w:rFonts w:ascii="Times New Roman" w:hAnsi="Times New Roman"/>
        </w:rPr>
        <w:t xml:space="preserve">of quality of services provided.  </w:t>
      </w:r>
      <w:r w:rsidR="004A7A78" w:rsidRPr="003556E4">
        <w:rPr>
          <w:rFonts w:ascii="Times New Roman" w:hAnsi="Times New Roman"/>
        </w:rPr>
        <w:t>Altho</w:t>
      </w:r>
      <w:r w:rsidR="00A350E8" w:rsidRPr="003556E4">
        <w:rPr>
          <w:rFonts w:ascii="Times New Roman" w:hAnsi="Times New Roman"/>
        </w:rPr>
        <w:t>ugh extension approaches which focus</w:t>
      </w:r>
      <w:r w:rsidR="004A7A78" w:rsidRPr="003556E4">
        <w:rPr>
          <w:rFonts w:ascii="Times New Roman" w:hAnsi="Times New Roman"/>
        </w:rPr>
        <w:t xml:space="preserve"> on engaging groups of farmers (largely through Farmer Field School type </w:t>
      </w:r>
      <w:r w:rsidR="00801D3A" w:rsidRPr="003556E4">
        <w:rPr>
          <w:rFonts w:ascii="Times New Roman" w:hAnsi="Times New Roman"/>
        </w:rPr>
        <w:t>approaches)</w:t>
      </w:r>
      <w:r w:rsidR="00A350E8" w:rsidRPr="003556E4">
        <w:rPr>
          <w:rFonts w:ascii="Times New Roman" w:hAnsi="Times New Roman"/>
        </w:rPr>
        <w:t xml:space="preserve"> are</w:t>
      </w:r>
      <w:r w:rsidR="004A7A78" w:rsidRPr="003556E4">
        <w:rPr>
          <w:rFonts w:ascii="Times New Roman" w:hAnsi="Times New Roman"/>
        </w:rPr>
        <w:t xml:space="preserve"> becoming more widespread, t</w:t>
      </w:r>
      <w:r w:rsidR="001D3B96" w:rsidRPr="003556E4">
        <w:rPr>
          <w:rFonts w:ascii="Times New Roman" w:hAnsi="Times New Roman"/>
        </w:rPr>
        <w:t xml:space="preserve">here is </w:t>
      </w:r>
      <w:r w:rsidR="004A7A78" w:rsidRPr="003556E4">
        <w:rPr>
          <w:rFonts w:ascii="Times New Roman" w:hAnsi="Times New Roman"/>
        </w:rPr>
        <w:t>limited</w:t>
      </w:r>
      <w:r w:rsidR="001D3B96" w:rsidRPr="003556E4">
        <w:rPr>
          <w:rFonts w:ascii="Times New Roman" w:hAnsi="Times New Roman"/>
        </w:rPr>
        <w:t xml:space="preserve"> emphasis on </w:t>
      </w:r>
      <w:r w:rsidR="00A350E8" w:rsidRPr="003556E4">
        <w:rPr>
          <w:rFonts w:ascii="Times New Roman" w:hAnsi="Times New Roman"/>
        </w:rPr>
        <w:t xml:space="preserve">client </w:t>
      </w:r>
      <w:r w:rsidR="001D3B96" w:rsidRPr="003556E4">
        <w:rPr>
          <w:rFonts w:ascii="Times New Roman" w:hAnsi="Times New Roman"/>
        </w:rPr>
        <w:t xml:space="preserve">empowerment or participatory approaches for </w:t>
      </w:r>
      <w:r w:rsidR="003F74C9" w:rsidRPr="003556E4">
        <w:rPr>
          <w:rFonts w:ascii="Times New Roman" w:hAnsi="Times New Roman"/>
        </w:rPr>
        <w:t xml:space="preserve">extension program </w:t>
      </w:r>
      <w:r w:rsidR="001D3B96" w:rsidRPr="003556E4">
        <w:rPr>
          <w:rFonts w:ascii="Times New Roman" w:hAnsi="Times New Roman"/>
        </w:rPr>
        <w:t>planning and development in rural communities.  The</w:t>
      </w:r>
      <w:r w:rsidR="006D2F5F" w:rsidRPr="003556E4">
        <w:rPr>
          <w:rFonts w:ascii="Times New Roman" w:hAnsi="Times New Roman"/>
        </w:rPr>
        <w:t>re are singularly</w:t>
      </w:r>
      <w:r w:rsidR="001D3B96" w:rsidRPr="003556E4">
        <w:rPr>
          <w:rFonts w:ascii="Times New Roman" w:hAnsi="Times New Roman"/>
        </w:rPr>
        <w:t xml:space="preserve"> few agricultural</w:t>
      </w:r>
      <w:r w:rsidR="006D2F5F" w:rsidRPr="003556E4">
        <w:rPr>
          <w:rFonts w:ascii="Times New Roman" w:hAnsi="Times New Roman"/>
        </w:rPr>
        <w:t xml:space="preserve"> education institutions preparing for future genera</w:t>
      </w:r>
      <w:r w:rsidR="003F74C9" w:rsidRPr="003556E4">
        <w:rPr>
          <w:rFonts w:ascii="Times New Roman" w:hAnsi="Times New Roman"/>
        </w:rPr>
        <w:t xml:space="preserve">tions of extension </w:t>
      </w:r>
      <w:r w:rsidR="006D2F5F" w:rsidRPr="003556E4">
        <w:rPr>
          <w:rFonts w:ascii="Times New Roman" w:hAnsi="Times New Roman"/>
        </w:rPr>
        <w:t>service</w:t>
      </w:r>
      <w:r w:rsidR="003F74C9" w:rsidRPr="003556E4">
        <w:rPr>
          <w:rFonts w:ascii="Times New Roman" w:hAnsi="Times New Roman"/>
        </w:rPr>
        <w:t>s</w:t>
      </w:r>
      <w:r w:rsidR="006D2F5F" w:rsidRPr="003556E4">
        <w:rPr>
          <w:rFonts w:ascii="Times New Roman" w:hAnsi="Times New Roman"/>
        </w:rPr>
        <w:t xml:space="preserve"> providers.</w:t>
      </w:r>
      <w:r w:rsidR="001A2F4B">
        <w:rPr>
          <w:rFonts w:ascii="Times New Roman" w:hAnsi="Times New Roman"/>
        </w:rPr>
        <w:t xml:space="preserve"> In general, the key functions of an extension se</w:t>
      </w:r>
      <w:r w:rsidR="00B50FA5">
        <w:rPr>
          <w:rFonts w:ascii="Times New Roman" w:hAnsi="Times New Roman"/>
        </w:rPr>
        <w:t>rvice are not being adequately carried-out</w:t>
      </w:r>
      <w:r w:rsidR="001A2F4B">
        <w:rPr>
          <w:rFonts w:ascii="Times New Roman" w:hAnsi="Times New Roman"/>
        </w:rPr>
        <w:t>.  These key functions are:</w:t>
      </w:r>
    </w:p>
    <w:p w:rsidR="001A2F4B" w:rsidRDefault="001A2F4B" w:rsidP="00ED3BAE">
      <w:pPr>
        <w:spacing w:after="0" w:line="240" w:lineRule="auto"/>
        <w:jc w:val="both"/>
        <w:rPr>
          <w:rFonts w:ascii="Times New Roman" w:hAnsi="Times New Roman"/>
        </w:rPr>
      </w:pPr>
    </w:p>
    <w:p w:rsidR="001A2F4B" w:rsidRDefault="001A2F4B" w:rsidP="00ED3BAE">
      <w:pPr>
        <w:pStyle w:val="FootnoteText"/>
        <w:numPr>
          <w:ilvl w:val="0"/>
          <w:numId w:val="15"/>
        </w:numPr>
        <w:jc w:val="both"/>
        <w:rPr>
          <w:sz w:val="22"/>
          <w:szCs w:val="22"/>
        </w:rPr>
      </w:pPr>
      <w:r w:rsidRPr="003556E4">
        <w:rPr>
          <w:sz w:val="22"/>
          <w:szCs w:val="22"/>
        </w:rPr>
        <w:t xml:space="preserve">Source and transform research-based and indigenous knowledge of improved technologies and practices that are </w:t>
      </w:r>
      <w:r w:rsidR="00303762">
        <w:rPr>
          <w:sz w:val="22"/>
          <w:szCs w:val="22"/>
        </w:rPr>
        <w:t xml:space="preserve">remunerative </w:t>
      </w:r>
      <w:r w:rsidRPr="003556E4">
        <w:rPr>
          <w:sz w:val="22"/>
          <w:szCs w:val="22"/>
        </w:rPr>
        <w:t>into extension messages and materials</w:t>
      </w:r>
      <w:r w:rsidR="00ED3BAE">
        <w:rPr>
          <w:sz w:val="22"/>
          <w:szCs w:val="22"/>
        </w:rPr>
        <w:t>.</w:t>
      </w:r>
    </w:p>
    <w:p w:rsidR="00A56CEA" w:rsidRPr="003556E4" w:rsidRDefault="00A56CEA" w:rsidP="00ED3BAE">
      <w:pPr>
        <w:pStyle w:val="FootnoteText"/>
        <w:ind w:left="760"/>
        <w:jc w:val="both"/>
        <w:rPr>
          <w:sz w:val="22"/>
          <w:szCs w:val="22"/>
        </w:rPr>
      </w:pPr>
    </w:p>
    <w:p w:rsidR="001A2F4B" w:rsidRDefault="001A2F4B" w:rsidP="00ED3BAE">
      <w:pPr>
        <w:pStyle w:val="FootnoteText"/>
        <w:numPr>
          <w:ilvl w:val="0"/>
          <w:numId w:val="15"/>
        </w:numPr>
        <w:jc w:val="both"/>
        <w:rPr>
          <w:sz w:val="22"/>
          <w:szCs w:val="22"/>
        </w:rPr>
      </w:pPr>
      <w:r w:rsidRPr="003556E4">
        <w:rPr>
          <w:sz w:val="22"/>
          <w:szCs w:val="22"/>
        </w:rPr>
        <w:t xml:space="preserve">Improve farmer, and other market actors, access to and knowledge of </w:t>
      </w:r>
      <w:r w:rsidR="00265E88">
        <w:rPr>
          <w:sz w:val="22"/>
          <w:szCs w:val="22"/>
        </w:rPr>
        <w:t xml:space="preserve">remunerative </w:t>
      </w:r>
      <w:r w:rsidRPr="003556E4">
        <w:rPr>
          <w:sz w:val="22"/>
          <w:szCs w:val="22"/>
        </w:rPr>
        <w:t>improved technologies and practices</w:t>
      </w:r>
      <w:r w:rsidR="00ED3BAE">
        <w:rPr>
          <w:sz w:val="22"/>
          <w:szCs w:val="22"/>
        </w:rPr>
        <w:t>.</w:t>
      </w:r>
    </w:p>
    <w:p w:rsidR="00A56CEA" w:rsidRPr="003556E4" w:rsidRDefault="00A56CEA" w:rsidP="00ED3BAE">
      <w:pPr>
        <w:pStyle w:val="FootnoteText"/>
        <w:ind w:left="760"/>
        <w:jc w:val="both"/>
        <w:rPr>
          <w:sz w:val="22"/>
          <w:szCs w:val="22"/>
        </w:rPr>
      </w:pPr>
    </w:p>
    <w:p w:rsidR="001A2F4B" w:rsidRDefault="001A2F4B" w:rsidP="00ED3BAE">
      <w:pPr>
        <w:pStyle w:val="FootnoteText"/>
        <w:numPr>
          <w:ilvl w:val="0"/>
          <w:numId w:val="15"/>
        </w:numPr>
        <w:jc w:val="both"/>
        <w:rPr>
          <w:sz w:val="22"/>
          <w:szCs w:val="22"/>
        </w:rPr>
      </w:pPr>
      <w:r w:rsidRPr="003556E4">
        <w:rPr>
          <w:sz w:val="22"/>
          <w:szCs w:val="22"/>
        </w:rPr>
        <w:t>Assist farmers, and other market actors, to make optimal use of their available resources to ensure access to food and income for their families</w:t>
      </w:r>
      <w:r w:rsidR="00ED3BAE">
        <w:rPr>
          <w:sz w:val="22"/>
          <w:szCs w:val="22"/>
        </w:rPr>
        <w:t>.</w:t>
      </w:r>
    </w:p>
    <w:p w:rsidR="00A56CEA" w:rsidRPr="003556E4" w:rsidRDefault="00A56CEA" w:rsidP="00ED3BAE">
      <w:pPr>
        <w:pStyle w:val="FootnoteText"/>
        <w:ind w:left="760"/>
        <w:jc w:val="both"/>
        <w:rPr>
          <w:sz w:val="22"/>
          <w:szCs w:val="22"/>
        </w:rPr>
      </w:pPr>
    </w:p>
    <w:p w:rsidR="001A2F4B" w:rsidRDefault="001A2F4B" w:rsidP="00ED3BAE">
      <w:pPr>
        <w:pStyle w:val="FootnoteText"/>
        <w:numPr>
          <w:ilvl w:val="0"/>
          <w:numId w:val="15"/>
        </w:numPr>
        <w:jc w:val="both"/>
        <w:rPr>
          <w:sz w:val="22"/>
          <w:szCs w:val="22"/>
        </w:rPr>
      </w:pPr>
      <w:r w:rsidRPr="003556E4">
        <w:rPr>
          <w:sz w:val="22"/>
          <w:szCs w:val="22"/>
        </w:rPr>
        <w:t>Help farmers solve their agricultural problems and improve their farm and natural resource management and marketing skills</w:t>
      </w:r>
      <w:r w:rsidR="00ED3BAE">
        <w:rPr>
          <w:sz w:val="22"/>
          <w:szCs w:val="22"/>
        </w:rPr>
        <w:t>.</w:t>
      </w:r>
    </w:p>
    <w:p w:rsidR="00A56CEA" w:rsidRPr="003556E4" w:rsidRDefault="00A56CEA" w:rsidP="00ED3BAE">
      <w:pPr>
        <w:pStyle w:val="FootnoteText"/>
        <w:ind w:left="760"/>
        <w:jc w:val="both"/>
        <w:rPr>
          <w:sz w:val="22"/>
          <w:szCs w:val="22"/>
        </w:rPr>
      </w:pPr>
    </w:p>
    <w:p w:rsidR="001A2F4B" w:rsidRPr="003556E4" w:rsidRDefault="001A2F4B" w:rsidP="00ED3BAE">
      <w:pPr>
        <w:pStyle w:val="FootnoteText"/>
        <w:numPr>
          <w:ilvl w:val="0"/>
          <w:numId w:val="15"/>
        </w:numPr>
        <w:jc w:val="both"/>
        <w:rPr>
          <w:sz w:val="22"/>
          <w:szCs w:val="22"/>
        </w:rPr>
      </w:pPr>
      <w:r w:rsidRPr="003556E4">
        <w:rPr>
          <w:sz w:val="22"/>
          <w:szCs w:val="22"/>
        </w:rPr>
        <w:t>Organize farmers into producer groups (e.g., production, processing, marketing, storage, and/or transport) to build social capital and strengthen their market position</w:t>
      </w:r>
      <w:r w:rsidR="00EB58AB">
        <w:rPr>
          <w:sz w:val="22"/>
          <w:szCs w:val="22"/>
        </w:rPr>
        <w:t>, with particular emphasis on “profits”.</w:t>
      </w:r>
      <w:r w:rsidRPr="003556E4">
        <w:rPr>
          <w:sz w:val="22"/>
          <w:szCs w:val="22"/>
        </w:rPr>
        <w:t xml:space="preserve"> </w:t>
      </w:r>
    </w:p>
    <w:p w:rsidR="007265AB" w:rsidRDefault="007265AB" w:rsidP="00ED3BAE">
      <w:pPr>
        <w:spacing w:after="0" w:line="240" w:lineRule="auto"/>
        <w:jc w:val="both"/>
        <w:rPr>
          <w:rFonts w:ascii="Times New Roman" w:hAnsi="Times New Roman"/>
        </w:rPr>
      </w:pPr>
    </w:p>
    <w:p w:rsidR="008A3E1D" w:rsidRDefault="008A3E1D" w:rsidP="00ED3BAE">
      <w:pPr>
        <w:spacing w:after="0" w:line="240" w:lineRule="auto"/>
        <w:jc w:val="both"/>
        <w:rPr>
          <w:rFonts w:ascii="Times New Roman" w:hAnsi="Times New Roman"/>
          <w:b/>
          <w:bCs/>
        </w:rPr>
      </w:pPr>
    </w:p>
    <w:p w:rsidR="008A3E1D" w:rsidRDefault="008A3E1D" w:rsidP="00ED3BAE">
      <w:pPr>
        <w:spacing w:after="0" w:line="240" w:lineRule="auto"/>
        <w:jc w:val="both"/>
        <w:rPr>
          <w:rFonts w:ascii="Times New Roman" w:hAnsi="Times New Roman"/>
          <w:b/>
          <w:bCs/>
        </w:rPr>
      </w:pPr>
    </w:p>
    <w:p w:rsidR="008A3E1D" w:rsidRDefault="008A3E1D" w:rsidP="00ED3BAE">
      <w:pPr>
        <w:spacing w:after="0" w:line="240" w:lineRule="auto"/>
        <w:jc w:val="both"/>
        <w:rPr>
          <w:rFonts w:ascii="Times New Roman" w:hAnsi="Times New Roman"/>
          <w:b/>
          <w:bCs/>
        </w:rPr>
      </w:pPr>
    </w:p>
    <w:p w:rsidR="008A3E1D" w:rsidRDefault="008A3E1D" w:rsidP="00ED3BAE">
      <w:pPr>
        <w:spacing w:after="0" w:line="240" w:lineRule="auto"/>
        <w:jc w:val="both"/>
        <w:rPr>
          <w:rFonts w:ascii="Times New Roman" w:hAnsi="Times New Roman"/>
          <w:b/>
          <w:bCs/>
        </w:rPr>
      </w:pPr>
    </w:p>
    <w:p w:rsidR="00277FEF" w:rsidRPr="003556E4" w:rsidRDefault="00627677" w:rsidP="00ED3BAE">
      <w:pPr>
        <w:spacing w:after="0" w:line="240" w:lineRule="auto"/>
        <w:jc w:val="both"/>
        <w:rPr>
          <w:rFonts w:ascii="Times New Roman" w:hAnsi="Times New Roman"/>
          <w:b/>
          <w:bCs/>
        </w:rPr>
      </w:pPr>
      <w:r w:rsidRPr="003556E4">
        <w:rPr>
          <w:rFonts w:ascii="Times New Roman" w:hAnsi="Times New Roman"/>
          <w:b/>
          <w:bCs/>
        </w:rPr>
        <w:t>1.</w:t>
      </w:r>
      <w:r w:rsidR="00006FA7">
        <w:rPr>
          <w:rFonts w:ascii="Times New Roman" w:hAnsi="Times New Roman"/>
          <w:b/>
          <w:bCs/>
        </w:rPr>
        <w:t>2</w:t>
      </w:r>
      <w:r w:rsidR="00864427" w:rsidRPr="003556E4">
        <w:rPr>
          <w:rFonts w:ascii="Times New Roman" w:hAnsi="Times New Roman"/>
          <w:b/>
          <w:bCs/>
        </w:rPr>
        <w:t xml:space="preserve"> </w:t>
      </w:r>
      <w:r w:rsidR="00BE4DA3" w:rsidRPr="003556E4">
        <w:rPr>
          <w:rFonts w:ascii="Times New Roman" w:hAnsi="Times New Roman"/>
          <w:b/>
          <w:bCs/>
        </w:rPr>
        <w:tab/>
        <w:t>Definitions</w:t>
      </w:r>
    </w:p>
    <w:p w:rsidR="00BE4DA3" w:rsidRPr="003556E4" w:rsidRDefault="00BE4DA3" w:rsidP="00ED3BAE">
      <w:pPr>
        <w:spacing w:after="0" w:line="240" w:lineRule="auto"/>
        <w:jc w:val="both"/>
        <w:rPr>
          <w:rFonts w:ascii="Times New Roman" w:hAnsi="Times New Roman"/>
          <w:bCs/>
        </w:rPr>
      </w:pPr>
    </w:p>
    <w:p w:rsidR="00BE4DA3" w:rsidRPr="003556E4" w:rsidRDefault="00627677" w:rsidP="00ED3BAE">
      <w:pPr>
        <w:spacing w:after="0" w:line="240" w:lineRule="auto"/>
        <w:jc w:val="both"/>
        <w:rPr>
          <w:rFonts w:ascii="Times New Roman" w:hAnsi="Times New Roman"/>
          <w:b/>
          <w:bCs/>
        </w:rPr>
      </w:pPr>
      <w:r w:rsidRPr="003556E4">
        <w:rPr>
          <w:rFonts w:ascii="Times New Roman" w:hAnsi="Times New Roman"/>
          <w:b/>
          <w:bCs/>
        </w:rPr>
        <w:t>1.</w:t>
      </w:r>
      <w:r w:rsidR="00006FA7">
        <w:rPr>
          <w:rFonts w:ascii="Times New Roman" w:hAnsi="Times New Roman"/>
          <w:b/>
          <w:bCs/>
        </w:rPr>
        <w:t>2</w:t>
      </w:r>
      <w:r w:rsidR="00BE4DA3" w:rsidRPr="003556E4">
        <w:rPr>
          <w:rFonts w:ascii="Times New Roman" w:hAnsi="Times New Roman"/>
          <w:b/>
          <w:bCs/>
        </w:rPr>
        <w:t>.1</w:t>
      </w:r>
      <w:r w:rsidR="00BE4DA3" w:rsidRPr="003556E4">
        <w:rPr>
          <w:rFonts w:ascii="Times New Roman" w:hAnsi="Times New Roman"/>
          <w:b/>
          <w:bCs/>
        </w:rPr>
        <w:tab/>
        <w:t>Agricultural Extension and Advisory Services (AEAS)</w:t>
      </w:r>
    </w:p>
    <w:p w:rsidR="00277FEF" w:rsidRPr="003556E4" w:rsidRDefault="00277FEF" w:rsidP="00ED3BAE">
      <w:pPr>
        <w:spacing w:after="0" w:line="240" w:lineRule="auto"/>
        <w:jc w:val="both"/>
        <w:rPr>
          <w:rFonts w:ascii="Times New Roman" w:hAnsi="Times New Roman"/>
          <w:bCs/>
        </w:rPr>
      </w:pPr>
    </w:p>
    <w:p w:rsidR="0088181F" w:rsidRPr="003556E4" w:rsidRDefault="003F74C9" w:rsidP="00ED3BAE">
      <w:pPr>
        <w:spacing w:after="0" w:line="240" w:lineRule="auto"/>
        <w:jc w:val="both"/>
        <w:rPr>
          <w:rFonts w:ascii="Times New Roman" w:hAnsi="Times New Roman"/>
          <w:bCs/>
        </w:rPr>
      </w:pPr>
      <w:r w:rsidRPr="003556E4">
        <w:rPr>
          <w:rFonts w:ascii="Times New Roman" w:hAnsi="Times New Roman"/>
          <w:bCs/>
        </w:rPr>
        <w:t>Liberia chooses to use the term</w:t>
      </w:r>
      <w:r w:rsidR="0067024A" w:rsidRPr="003556E4">
        <w:rPr>
          <w:rFonts w:ascii="Times New Roman" w:hAnsi="Times New Roman"/>
          <w:bCs/>
        </w:rPr>
        <w:t xml:space="preserve"> “agricultural extension and advisory services</w:t>
      </w:r>
      <w:r w:rsidR="00F63FF2" w:rsidRPr="003556E4">
        <w:rPr>
          <w:rFonts w:ascii="Times New Roman" w:hAnsi="Times New Roman"/>
          <w:bCs/>
        </w:rPr>
        <w:t>”</w:t>
      </w:r>
      <w:r w:rsidR="0067024A" w:rsidRPr="003556E4">
        <w:rPr>
          <w:rFonts w:ascii="Times New Roman" w:hAnsi="Times New Roman"/>
          <w:bCs/>
        </w:rPr>
        <w:t xml:space="preserve"> (</w:t>
      </w:r>
      <w:r w:rsidR="00784EEC">
        <w:rPr>
          <w:rFonts w:ascii="Times New Roman" w:hAnsi="Times New Roman"/>
          <w:bCs/>
        </w:rPr>
        <w:t>A</w:t>
      </w:r>
      <w:r w:rsidR="0067024A" w:rsidRPr="003556E4">
        <w:rPr>
          <w:rFonts w:ascii="Times New Roman" w:hAnsi="Times New Roman"/>
          <w:bCs/>
        </w:rPr>
        <w:t>EAS)</w:t>
      </w:r>
      <w:r w:rsidRPr="003556E4">
        <w:rPr>
          <w:rFonts w:ascii="Times New Roman" w:hAnsi="Times New Roman"/>
          <w:bCs/>
        </w:rPr>
        <w:t xml:space="preserve"> to identify its national system</w:t>
      </w:r>
      <w:r w:rsidR="0067024A" w:rsidRPr="003556E4">
        <w:rPr>
          <w:rFonts w:ascii="Times New Roman" w:hAnsi="Times New Roman"/>
          <w:bCs/>
        </w:rPr>
        <w:t>.</w:t>
      </w:r>
      <w:r w:rsidR="0088181F" w:rsidRPr="003556E4">
        <w:rPr>
          <w:rFonts w:ascii="Times New Roman" w:hAnsi="Times New Roman"/>
          <w:bCs/>
        </w:rPr>
        <w:t xml:space="preserve">  </w:t>
      </w:r>
      <w:r w:rsidR="0067024A" w:rsidRPr="003556E4">
        <w:rPr>
          <w:rFonts w:ascii="Times New Roman" w:hAnsi="Times New Roman"/>
          <w:bCs/>
        </w:rPr>
        <w:t xml:space="preserve"> </w:t>
      </w:r>
      <w:r w:rsidR="0088181F" w:rsidRPr="003556E4">
        <w:rPr>
          <w:rFonts w:ascii="Times New Roman" w:hAnsi="Times New Roman"/>
          <w:bCs/>
        </w:rPr>
        <w:t xml:space="preserve">The terms extension and advisory services are </w:t>
      </w:r>
      <w:r w:rsidRPr="003556E4">
        <w:rPr>
          <w:rFonts w:ascii="Times New Roman" w:hAnsi="Times New Roman"/>
          <w:bCs/>
        </w:rPr>
        <w:t>used interchangeably.   AEAS are</w:t>
      </w:r>
      <w:r w:rsidR="0088181F" w:rsidRPr="003556E4">
        <w:rPr>
          <w:rFonts w:ascii="Times New Roman" w:hAnsi="Times New Roman"/>
          <w:bCs/>
        </w:rPr>
        <w:t xml:space="preserve"> defined much more broadly than the traditional view which holds that extension primarily transfers technology and trains farmers to increase produ</w:t>
      </w:r>
      <w:r w:rsidRPr="003556E4">
        <w:rPr>
          <w:rFonts w:ascii="Times New Roman" w:hAnsi="Times New Roman"/>
          <w:bCs/>
        </w:rPr>
        <w:t>ction and improve yields.  AEAS are a system</w:t>
      </w:r>
      <w:r w:rsidR="00801D3A" w:rsidRPr="003556E4">
        <w:rPr>
          <w:rFonts w:ascii="Times New Roman" w:hAnsi="Times New Roman"/>
          <w:bCs/>
        </w:rPr>
        <w:t xml:space="preserve"> that:</w:t>
      </w:r>
    </w:p>
    <w:p w:rsidR="00F63FF2" w:rsidRPr="003556E4" w:rsidRDefault="00F63FF2" w:rsidP="00ED3BAE">
      <w:pPr>
        <w:spacing w:after="0" w:line="240" w:lineRule="auto"/>
        <w:jc w:val="both"/>
        <w:rPr>
          <w:rFonts w:ascii="Times New Roman" w:hAnsi="Times New Roman"/>
          <w:bCs/>
        </w:rPr>
      </w:pPr>
    </w:p>
    <w:p w:rsidR="0088181F" w:rsidRDefault="0088181F" w:rsidP="00ED3BAE">
      <w:pPr>
        <w:numPr>
          <w:ilvl w:val="0"/>
          <w:numId w:val="14"/>
        </w:numPr>
        <w:spacing w:after="0" w:line="240" w:lineRule="auto"/>
        <w:jc w:val="both"/>
        <w:rPr>
          <w:rFonts w:ascii="Times New Roman" w:hAnsi="Times New Roman"/>
          <w:bCs/>
        </w:rPr>
      </w:pPr>
      <w:r w:rsidRPr="003556E4">
        <w:rPr>
          <w:rFonts w:ascii="Times New Roman" w:hAnsi="Times New Roman"/>
          <w:bCs/>
        </w:rPr>
        <w:t>facilitate</w:t>
      </w:r>
      <w:r w:rsidR="003F74C9" w:rsidRPr="003556E4">
        <w:rPr>
          <w:rFonts w:ascii="Times New Roman" w:hAnsi="Times New Roman"/>
          <w:bCs/>
        </w:rPr>
        <w:t>s</w:t>
      </w:r>
      <w:r w:rsidRPr="003556E4">
        <w:rPr>
          <w:rFonts w:ascii="Times New Roman" w:hAnsi="Times New Roman"/>
          <w:bCs/>
        </w:rPr>
        <w:t xml:space="preserve"> the access of </w:t>
      </w:r>
      <w:r w:rsidR="000136D3" w:rsidRPr="003556E4">
        <w:rPr>
          <w:rFonts w:ascii="Times New Roman" w:hAnsi="Times New Roman"/>
          <w:bCs/>
        </w:rPr>
        <w:t xml:space="preserve">women, men, and young </w:t>
      </w:r>
      <w:r w:rsidR="00B47326" w:rsidRPr="003556E4">
        <w:rPr>
          <w:rFonts w:ascii="Times New Roman" w:hAnsi="Times New Roman"/>
          <w:bCs/>
        </w:rPr>
        <w:t xml:space="preserve">farmers, </w:t>
      </w:r>
      <w:r w:rsidRPr="003556E4">
        <w:rPr>
          <w:rFonts w:ascii="Times New Roman" w:hAnsi="Times New Roman"/>
          <w:bCs/>
        </w:rPr>
        <w:t>their organizations</w:t>
      </w:r>
      <w:r w:rsidR="00B47326" w:rsidRPr="003556E4">
        <w:rPr>
          <w:rFonts w:ascii="Times New Roman" w:hAnsi="Times New Roman"/>
          <w:bCs/>
        </w:rPr>
        <w:t xml:space="preserve"> and other market actors (e.g., processors, </w:t>
      </w:r>
      <w:r w:rsidR="001133A1">
        <w:rPr>
          <w:rFonts w:ascii="Times New Roman" w:hAnsi="Times New Roman"/>
          <w:bCs/>
        </w:rPr>
        <w:t xml:space="preserve">consolidators, </w:t>
      </w:r>
      <w:r w:rsidR="00B47326" w:rsidRPr="003556E4">
        <w:rPr>
          <w:rFonts w:ascii="Times New Roman" w:hAnsi="Times New Roman"/>
          <w:bCs/>
        </w:rPr>
        <w:t>traders</w:t>
      </w:r>
      <w:r w:rsidRPr="003556E4">
        <w:rPr>
          <w:rFonts w:ascii="Times New Roman" w:hAnsi="Times New Roman"/>
          <w:bCs/>
        </w:rPr>
        <w:t>) to knowledge</w:t>
      </w:r>
      <w:r w:rsidR="00286120">
        <w:rPr>
          <w:rStyle w:val="FootnoteReference"/>
          <w:rFonts w:ascii="Times New Roman" w:hAnsi="Times New Roman"/>
          <w:bCs/>
        </w:rPr>
        <w:footnoteReference w:id="5"/>
      </w:r>
      <w:r w:rsidRPr="003556E4">
        <w:rPr>
          <w:rFonts w:ascii="Times New Roman" w:hAnsi="Times New Roman"/>
          <w:bCs/>
        </w:rPr>
        <w:t xml:space="preserve">, information, and technologies; </w:t>
      </w:r>
    </w:p>
    <w:p w:rsidR="00A56CEA" w:rsidRPr="003556E4" w:rsidRDefault="00A56CEA" w:rsidP="00ED3BAE">
      <w:pPr>
        <w:spacing w:after="0" w:line="240" w:lineRule="auto"/>
        <w:ind w:left="773"/>
        <w:jc w:val="both"/>
        <w:rPr>
          <w:rFonts w:ascii="Times New Roman" w:hAnsi="Times New Roman"/>
          <w:bCs/>
        </w:rPr>
      </w:pPr>
    </w:p>
    <w:p w:rsidR="00F63FF2" w:rsidRDefault="0088181F" w:rsidP="00ED3BAE">
      <w:pPr>
        <w:numPr>
          <w:ilvl w:val="0"/>
          <w:numId w:val="14"/>
        </w:numPr>
        <w:spacing w:after="0" w:line="240" w:lineRule="auto"/>
        <w:jc w:val="both"/>
        <w:rPr>
          <w:rFonts w:ascii="Times New Roman" w:hAnsi="Times New Roman"/>
          <w:bCs/>
        </w:rPr>
      </w:pPr>
      <w:r w:rsidRPr="003556E4">
        <w:rPr>
          <w:rFonts w:ascii="Times New Roman" w:hAnsi="Times New Roman"/>
          <w:bCs/>
        </w:rPr>
        <w:t>facilitate</w:t>
      </w:r>
      <w:r w:rsidR="003F74C9" w:rsidRPr="003556E4">
        <w:rPr>
          <w:rFonts w:ascii="Times New Roman" w:hAnsi="Times New Roman"/>
          <w:bCs/>
        </w:rPr>
        <w:t>s</w:t>
      </w:r>
      <w:r w:rsidRPr="003556E4">
        <w:rPr>
          <w:rFonts w:ascii="Times New Roman" w:hAnsi="Times New Roman"/>
          <w:bCs/>
        </w:rPr>
        <w:t xml:space="preserve"> their interactions with each other and with partners in </w:t>
      </w:r>
      <w:r w:rsidR="00B47326" w:rsidRPr="003556E4">
        <w:rPr>
          <w:rFonts w:ascii="Times New Roman" w:hAnsi="Times New Roman"/>
          <w:bCs/>
        </w:rPr>
        <w:t>research, education, agr</w:t>
      </w:r>
      <w:r w:rsidR="0047758D" w:rsidRPr="003556E4">
        <w:rPr>
          <w:rFonts w:ascii="Times New Roman" w:hAnsi="Times New Roman"/>
          <w:bCs/>
        </w:rPr>
        <w:t>i</w:t>
      </w:r>
      <w:r w:rsidR="00B47326" w:rsidRPr="003556E4">
        <w:rPr>
          <w:rFonts w:ascii="Times New Roman" w:hAnsi="Times New Roman"/>
          <w:bCs/>
        </w:rPr>
        <w:t>-business, banks, and other relevant institutions; and</w:t>
      </w:r>
    </w:p>
    <w:p w:rsidR="00A56CEA" w:rsidRPr="003556E4" w:rsidRDefault="00A56CEA" w:rsidP="00ED3BAE">
      <w:pPr>
        <w:spacing w:after="0" w:line="240" w:lineRule="auto"/>
        <w:ind w:left="773"/>
        <w:jc w:val="both"/>
        <w:rPr>
          <w:rFonts w:ascii="Times New Roman" w:hAnsi="Times New Roman"/>
          <w:bCs/>
        </w:rPr>
      </w:pPr>
    </w:p>
    <w:p w:rsidR="00627677" w:rsidRPr="003556E4" w:rsidRDefault="0088181F" w:rsidP="00ED3BAE">
      <w:pPr>
        <w:numPr>
          <w:ilvl w:val="0"/>
          <w:numId w:val="14"/>
        </w:numPr>
        <w:spacing w:after="0" w:line="240" w:lineRule="auto"/>
        <w:jc w:val="both"/>
        <w:rPr>
          <w:rFonts w:ascii="Times New Roman" w:hAnsi="Times New Roman"/>
          <w:bCs/>
        </w:rPr>
      </w:pPr>
      <w:r w:rsidRPr="003556E4">
        <w:rPr>
          <w:rFonts w:ascii="Times New Roman" w:hAnsi="Times New Roman"/>
          <w:bCs/>
        </w:rPr>
        <w:t>assist</w:t>
      </w:r>
      <w:r w:rsidR="003F74C9" w:rsidRPr="003556E4">
        <w:rPr>
          <w:rFonts w:ascii="Times New Roman" w:hAnsi="Times New Roman"/>
          <w:bCs/>
        </w:rPr>
        <w:t>s</w:t>
      </w:r>
      <w:r w:rsidRPr="003556E4">
        <w:rPr>
          <w:rFonts w:ascii="Times New Roman" w:hAnsi="Times New Roman"/>
          <w:bCs/>
        </w:rPr>
        <w:t xml:space="preserve"> them to develop their own technical, organizational, and management skills and practices</w:t>
      </w:r>
      <w:r w:rsidR="00B47326" w:rsidRPr="003556E4">
        <w:rPr>
          <w:rFonts w:ascii="Times New Roman" w:hAnsi="Times New Roman"/>
          <w:bCs/>
        </w:rPr>
        <w:t>.</w:t>
      </w:r>
      <w:r w:rsidR="00B47326" w:rsidRPr="003556E4">
        <w:rPr>
          <w:rStyle w:val="FootnoteReference"/>
          <w:rFonts w:ascii="Times New Roman" w:hAnsi="Times New Roman"/>
          <w:bCs/>
        </w:rPr>
        <w:footnoteReference w:id="6"/>
      </w:r>
      <w:r w:rsidRPr="003556E4">
        <w:rPr>
          <w:rFonts w:ascii="Times New Roman" w:hAnsi="Times New Roman"/>
          <w:bCs/>
        </w:rPr>
        <w:t xml:space="preserve"> </w:t>
      </w:r>
    </w:p>
    <w:p w:rsidR="00F63FF2" w:rsidRPr="003556E4" w:rsidRDefault="00F63FF2" w:rsidP="00ED3BAE">
      <w:pPr>
        <w:spacing w:after="0" w:line="240" w:lineRule="auto"/>
        <w:ind w:left="773"/>
        <w:jc w:val="both"/>
        <w:rPr>
          <w:rFonts w:ascii="Times New Roman" w:hAnsi="Times New Roman"/>
          <w:bCs/>
        </w:rPr>
      </w:pPr>
    </w:p>
    <w:p w:rsidR="00347788" w:rsidRDefault="007265AB" w:rsidP="00ED3BAE">
      <w:pPr>
        <w:pStyle w:val="FootnoteText"/>
        <w:jc w:val="both"/>
        <w:rPr>
          <w:b/>
          <w:sz w:val="22"/>
          <w:szCs w:val="22"/>
        </w:rPr>
      </w:pPr>
      <w:r>
        <w:rPr>
          <w:b/>
          <w:sz w:val="22"/>
          <w:szCs w:val="22"/>
        </w:rPr>
        <w:t>1.</w:t>
      </w:r>
      <w:r w:rsidR="00006FA7">
        <w:rPr>
          <w:b/>
          <w:sz w:val="22"/>
          <w:szCs w:val="22"/>
        </w:rPr>
        <w:t>2</w:t>
      </w:r>
      <w:r w:rsidR="00572242">
        <w:rPr>
          <w:b/>
          <w:sz w:val="22"/>
          <w:szCs w:val="22"/>
        </w:rPr>
        <w:t>.2</w:t>
      </w:r>
      <w:r w:rsidR="00347788" w:rsidRPr="00347788">
        <w:rPr>
          <w:b/>
          <w:sz w:val="22"/>
          <w:szCs w:val="22"/>
        </w:rPr>
        <w:tab/>
        <w:t>Food Security</w:t>
      </w:r>
    </w:p>
    <w:p w:rsidR="00347788" w:rsidRDefault="00347788" w:rsidP="00ED3BAE">
      <w:pPr>
        <w:pStyle w:val="FootnoteText"/>
        <w:jc w:val="both"/>
        <w:rPr>
          <w:b/>
          <w:sz w:val="22"/>
          <w:szCs w:val="22"/>
        </w:rPr>
      </w:pPr>
    </w:p>
    <w:p w:rsidR="00114CD9" w:rsidRDefault="00347788" w:rsidP="00ED3BAE">
      <w:pPr>
        <w:pStyle w:val="FootnoteText"/>
        <w:jc w:val="both"/>
        <w:rPr>
          <w:sz w:val="22"/>
          <w:szCs w:val="22"/>
        </w:rPr>
      </w:pPr>
      <w:r>
        <w:rPr>
          <w:sz w:val="22"/>
          <w:szCs w:val="22"/>
        </w:rPr>
        <w:t>Food security exists when all people, at all times, have physical, social, and economic access to sufficient, safe, and nutritious food which meets their dietary needs and food preferences for an active and healthy life (1996 World Food Summit).</w:t>
      </w:r>
    </w:p>
    <w:p w:rsidR="00080326" w:rsidRDefault="00080326" w:rsidP="00ED3BAE">
      <w:pPr>
        <w:pStyle w:val="FootnoteText"/>
        <w:jc w:val="both"/>
        <w:rPr>
          <w:sz w:val="22"/>
          <w:szCs w:val="22"/>
        </w:rPr>
      </w:pPr>
    </w:p>
    <w:p w:rsidR="001133A1" w:rsidRPr="001A2F4B" w:rsidRDefault="001133A1" w:rsidP="00ED3BAE">
      <w:pPr>
        <w:pStyle w:val="FootnoteText"/>
        <w:jc w:val="both"/>
        <w:rPr>
          <w:sz w:val="22"/>
          <w:szCs w:val="22"/>
        </w:rPr>
      </w:pPr>
    </w:p>
    <w:p w:rsidR="004654EC" w:rsidRPr="008D5ECD" w:rsidRDefault="00B266DF" w:rsidP="00ED3BAE">
      <w:pPr>
        <w:spacing w:after="0" w:line="240" w:lineRule="auto"/>
        <w:ind w:left="720" w:hanging="720"/>
        <w:jc w:val="both"/>
        <w:rPr>
          <w:rFonts w:ascii="Times New Roman" w:hAnsi="Times New Roman"/>
          <w:b/>
        </w:rPr>
      </w:pPr>
      <w:r w:rsidRPr="003556E4">
        <w:rPr>
          <w:rFonts w:ascii="Times New Roman" w:hAnsi="Times New Roman"/>
          <w:b/>
        </w:rPr>
        <w:t>2.0</w:t>
      </w:r>
      <w:r w:rsidRPr="003556E4">
        <w:rPr>
          <w:rFonts w:ascii="Times New Roman" w:hAnsi="Times New Roman"/>
          <w:b/>
        </w:rPr>
        <w:tab/>
      </w:r>
      <w:r w:rsidRPr="008D5ECD">
        <w:rPr>
          <w:rFonts w:ascii="Times New Roman" w:hAnsi="Times New Roman"/>
          <w:b/>
        </w:rPr>
        <w:t>LIBERIA’S NATIONAL POLICY FOR AGRICULTURAL EXTENSION AND ADVISORY SERVICES</w:t>
      </w:r>
      <w:r w:rsidR="00DA0608">
        <w:rPr>
          <w:rFonts w:ascii="Times New Roman" w:hAnsi="Times New Roman"/>
          <w:b/>
        </w:rPr>
        <w:t xml:space="preserve"> (AEAS)</w:t>
      </w:r>
    </w:p>
    <w:p w:rsidR="004654EC" w:rsidRPr="003556E4" w:rsidRDefault="004654EC" w:rsidP="00ED3BAE">
      <w:pPr>
        <w:spacing w:after="0" w:line="240" w:lineRule="auto"/>
        <w:jc w:val="both"/>
        <w:rPr>
          <w:rFonts w:ascii="Times New Roman" w:hAnsi="Times New Roman"/>
        </w:rPr>
      </w:pPr>
    </w:p>
    <w:p w:rsidR="008D5ECD" w:rsidRPr="008D5ECD" w:rsidRDefault="008D5ECD" w:rsidP="00ED3BAE">
      <w:pPr>
        <w:spacing w:after="0" w:line="240" w:lineRule="auto"/>
        <w:jc w:val="both"/>
        <w:rPr>
          <w:rFonts w:ascii="Times New Roman" w:hAnsi="Times New Roman"/>
          <w:b/>
          <w:bCs/>
        </w:rPr>
      </w:pPr>
      <w:r w:rsidRPr="008D5ECD">
        <w:rPr>
          <w:rFonts w:ascii="Times New Roman" w:hAnsi="Times New Roman"/>
          <w:b/>
          <w:bCs/>
        </w:rPr>
        <w:t>2.1</w:t>
      </w:r>
      <w:r w:rsidRPr="008D5ECD">
        <w:rPr>
          <w:rFonts w:ascii="Times New Roman" w:hAnsi="Times New Roman"/>
          <w:b/>
          <w:bCs/>
        </w:rPr>
        <w:tab/>
        <w:t>Need</w:t>
      </w:r>
    </w:p>
    <w:p w:rsidR="008D5ECD" w:rsidRDefault="008D5ECD" w:rsidP="00ED3BAE">
      <w:pPr>
        <w:spacing w:after="0" w:line="240" w:lineRule="auto"/>
        <w:jc w:val="both"/>
        <w:rPr>
          <w:rFonts w:ascii="Times New Roman" w:hAnsi="Times New Roman"/>
          <w:bCs/>
        </w:rPr>
      </w:pPr>
    </w:p>
    <w:p w:rsidR="004654EC" w:rsidRPr="003556E4" w:rsidRDefault="004654EC" w:rsidP="00ED3BAE">
      <w:pPr>
        <w:spacing w:after="0" w:line="240" w:lineRule="auto"/>
        <w:jc w:val="both"/>
        <w:rPr>
          <w:rFonts w:ascii="Times New Roman" w:hAnsi="Times New Roman"/>
        </w:rPr>
      </w:pPr>
      <w:r w:rsidRPr="003556E4">
        <w:rPr>
          <w:rFonts w:ascii="Times New Roman" w:hAnsi="Times New Roman"/>
          <w:bCs/>
        </w:rPr>
        <w:t>The landscape of agriculture extension</w:t>
      </w:r>
      <w:r w:rsidR="003B5DEB" w:rsidRPr="003556E4">
        <w:rPr>
          <w:rFonts w:ascii="Times New Roman" w:hAnsi="Times New Roman"/>
          <w:bCs/>
        </w:rPr>
        <w:t xml:space="preserve"> in Liberia </w:t>
      </w:r>
      <w:r w:rsidRPr="003556E4">
        <w:rPr>
          <w:rFonts w:ascii="Times New Roman" w:hAnsi="Times New Roman"/>
          <w:bCs/>
        </w:rPr>
        <w:t xml:space="preserve">is changing rapidly.  This is driven by globalization, the increasing need to produce food for an expanding population, climate change, growing concern over natural resource management, and a move from primarily public sector delivered extension to extension services delivered also by the private and civil society sectors.  Currently, there are many organizations, agencies, and institutions involved in the provision of agricultural extension in Liberia.  Services are fragmented, uncoordinated, and sometimes duplicative.  Liberia’s 2008 </w:t>
      </w:r>
      <w:r w:rsidRPr="003556E4">
        <w:rPr>
          <w:rFonts w:ascii="Times New Roman" w:hAnsi="Times New Roman"/>
          <w:bCs/>
          <w:i/>
        </w:rPr>
        <w:t>Food and Agriculture Policy and Strategy</w:t>
      </w:r>
      <w:r w:rsidRPr="003556E4">
        <w:rPr>
          <w:rFonts w:ascii="Times New Roman" w:hAnsi="Times New Roman"/>
          <w:bCs/>
        </w:rPr>
        <w:t xml:space="preserve"> emphasizes development of decentralized, demand-driven extension services targeting smallholders and focusing on food production.  In its Institutional Development Program, LASIP calls for building capacity and transforming Liberia’s national extension service into a decentralized demand-driven farm advisory system.</w:t>
      </w:r>
      <w:r w:rsidRPr="003556E4">
        <w:rPr>
          <w:rFonts w:ascii="Times New Roman" w:hAnsi="Times New Roman"/>
        </w:rPr>
        <w:t xml:space="preserve"> </w:t>
      </w:r>
      <w:r w:rsidR="00020689">
        <w:rPr>
          <w:rFonts w:ascii="Times New Roman" w:hAnsi="Times New Roman"/>
        </w:rPr>
        <w:t>Building capacity of all engaged in AEAS underpins this Policy and is critical to its success.</w:t>
      </w:r>
      <w:r w:rsidR="00020689">
        <w:rPr>
          <w:rStyle w:val="FootnoteReference"/>
          <w:rFonts w:ascii="Times New Roman" w:hAnsi="Times New Roman"/>
        </w:rPr>
        <w:footnoteReference w:id="7"/>
      </w:r>
    </w:p>
    <w:p w:rsidR="004654EC" w:rsidRPr="003556E4" w:rsidRDefault="004654EC" w:rsidP="00ED3BAE">
      <w:pPr>
        <w:spacing w:after="0" w:line="240" w:lineRule="auto"/>
        <w:jc w:val="both"/>
        <w:rPr>
          <w:rFonts w:ascii="Times New Roman" w:hAnsi="Times New Roman"/>
        </w:rPr>
      </w:pPr>
    </w:p>
    <w:p w:rsidR="004654EC" w:rsidRPr="003556E4" w:rsidRDefault="004654EC" w:rsidP="00ED3BAE">
      <w:pPr>
        <w:spacing w:after="0" w:line="240" w:lineRule="auto"/>
        <w:jc w:val="both"/>
        <w:rPr>
          <w:rFonts w:ascii="Times New Roman" w:hAnsi="Times New Roman"/>
        </w:rPr>
      </w:pPr>
      <w:r w:rsidRPr="003556E4">
        <w:rPr>
          <w:rFonts w:ascii="Times New Roman" w:hAnsi="Times New Roman"/>
        </w:rPr>
        <w:t xml:space="preserve">Currently, the MOA does not have a referenced policy document to provide direction for agricultural extension and frame the process of transforming the national extension system.  In-line with the </w:t>
      </w:r>
      <w:r w:rsidRPr="003556E4">
        <w:rPr>
          <w:rFonts w:ascii="Times New Roman" w:hAnsi="Times New Roman"/>
          <w:i/>
        </w:rPr>
        <w:t xml:space="preserve">Nairobi Declaration on Agricultural Extension and Advisory Services </w:t>
      </w:r>
      <w:r w:rsidRPr="003556E4">
        <w:rPr>
          <w:rFonts w:ascii="Times New Roman" w:hAnsi="Times New Roman"/>
        </w:rPr>
        <w:t>(201</w:t>
      </w:r>
      <w:r w:rsidR="00D56119">
        <w:rPr>
          <w:rFonts w:ascii="Times New Roman" w:hAnsi="Times New Roman"/>
        </w:rPr>
        <w:t>1</w:t>
      </w:r>
      <w:r w:rsidRPr="003556E4">
        <w:rPr>
          <w:rFonts w:ascii="Times New Roman" w:hAnsi="Times New Roman"/>
        </w:rPr>
        <w:t>), which calls on governments to develop clear policies on extension and advisory services in a participatory manner, it is the purpose of this document to address this policy deficiency and articulate Liberia’s National Policy for A</w:t>
      </w:r>
      <w:r w:rsidR="00D92FBC">
        <w:rPr>
          <w:rFonts w:ascii="Times New Roman" w:hAnsi="Times New Roman"/>
        </w:rPr>
        <w:t>EAS</w:t>
      </w:r>
      <w:r w:rsidRPr="003556E4">
        <w:rPr>
          <w:rFonts w:ascii="Times New Roman" w:hAnsi="Times New Roman"/>
        </w:rPr>
        <w:t>.</w:t>
      </w:r>
    </w:p>
    <w:p w:rsidR="004654EC" w:rsidRPr="003556E4" w:rsidRDefault="004654EC" w:rsidP="00ED3BAE">
      <w:pPr>
        <w:pStyle w:val="Pa1"/>
        <w:spacing w:line="240" w:lineRule="auto"/>
        <w:jc w:val="both"/>
        <w:rPr>
          <w:rFonts w:ascii="Times New Roman" w:hAnsi="Times New Roman" w:cs="Times New Roman"/>
          <w:sz w:val="22"/>
          <w:szCs w:val="22"/>
        </w:rPr>
      </w:pPr>
    </w:p>
    <w:p w:rsidR="009E101A" w:rsidRDefault="009E101A" w:rsidP="00ED3BAE">
      <w:pPr>
        <w:pStyle w:val="Pa1"/>
        <w:spacing w:line="240" w:lineRule="auto"/>
        <w:jc w:val="both"/>
        <w:rPr>
          <w:rFonts w:ascii="Times New Roman" w:hAnsi="Times New Roman" w:cs="Times New Roman"/>
          <w:sz w:val="22"/>
          <w:szCs w:val="22"/>
        </w:rPr>
      </w:pPr>
      <w:r w:rsidRPr="003556E4">
        <w:rPr>
          <w:rFonts w:ascii="Times New Roman" w:hAnsi="Times New Roman" w:cs="Times New Roman"/>
          <w:sz w:val="22"/>
          <w:szCs w:val="22"/>
        </w:rPr>
        <w:t>The focus of the National Policy for A</w:t>
      </w:r>
      <w:r w:rsidR="00D92FBC">
        <w:rPr>
          <w:rFonts w:ascii="Times New Roman" w:hAnsi="Times New Roman" w:cs="Times New Roman"/>
          <w:sz w:val="22"/>
          <w:szCs w:val="22"/>
        </w:rPr>
        <w:t>EAS</w:t>
      </w:r>
      <w:r w:rsidR="004654EC" w:rsidRPr="003556E4">
        <w:rPr>
          <w:rFonts w:ascii="Times New Roman" w:hAnsi="Times New Roman" w:cs="Times New Roman"/>
          <w:sz w:val="22"/>
          <w:szCs w:val="22"/>
        </w:rPr>
        <w:t xml:space="preserve"> </w:t>
      </w:r>
      <w:r w:rsidRPr="003556E4">
        <w:rPr>
          <w:rFonts w:ascii="Times New Roman" w:hAnsi="Times New Roman" w:cs="Times New Roman"/>
          <w:sz w:val="22"/>
          <w:szCs w:val="22"/>
        </w:rPr>
        <w:t>is to provide the legal</w:t>
      </w:r>
      <w:r w:rsidR="00B44B2E">
        <w:rPr>
          <w:rFonts w:ascii="Times New Roman" w:hAnsi="Times New Roman" w:cs="Times New Roman"/>
          <w:sz w:val="22"/>
          <w:szCs w:val="22"/>
        </w:rPr>
        <w:t xml:space="preserve"> and enabling framework for the transformation of the existing extension system into </w:t>
      </w:r>
      <w:r w:rsidR="004654EC" w:rsidRPr="003556E4">
        <w:rPr>
          <w:rFonts w:ascii="Times New Roman" w:hAnsi="Times New Roman" w:cs="Times New Roman"/>
          <w:sz w:val="22"/>
          <w:szCs w:val="22"/>
        </w:rPr>
        <w:t xml:space="preserve">a </w:t>
      </w:r>
      <w:r w:rsidRPr="003556E4">
        <w:rPr>
          <w:rFonts w:ascii="Times New Roman" w:hAnsi="Times New Roman" w:cs="Times New Roman"/>
          <w:sz w:val="22"/>
          <w:szCs w:val="22"/>
        </w:rPr>
        <w:t>pluralistic</w:t>
      </w:r>
      <w:r w:rsidR="004654EC" w:rsidRPr="003556E4">
        <w:rPr>
          <w:rFonts w:ascii="Times New Roman" w:hAnsi="Times New Roman" w:cs="Times New Roman"/>
          <w:sz w:val="22"/>
          <w:szCs w:val="22"/>
        </w:rPr>
        <w:t xml:space="preserve">, </w:t>
      </w:r>
      <w:r w:rsidR="00627677" w:rsidRPr="003556E4">
        <w:rPr>
          <w:rFonts w:ascii="Times New Roman" w:hAnsi="Times New Roman" w:cs="Times New Roman"/>
          <w:sz w:val="22"/>
          <w:szCs w:val="22"/>
        </w:rPr>
        <w:t xml:space="preserve">decentralized, </w:t>
      </w:r>
      <w:r w:rsidR="00E218EB">
        <w:rPr>
          <w:rFonts w:ascii="Times New Roman" w:hAnsi="Times New Roman" w:cs="Times New Roman"/>
          <w:sz w:val="22"/>
          <w:szCs w:val="22"/>
        </w:rPr>
        <w:t>demand-driven, and market-oriented</w:t>
      </w:r>
      <w:r w:rsidR="003B5DEB" w:rsidRPr="003556E4">
        <w:rPr>
          <w:rFonts w:ascii="Times New Roman" w:hAnsi="Times New Roman" w:cs="Times New Roman"/>
          <w:sz w:val="22"/>
          <w:szCs w:val="22"/>
        </w:rPr>
        <w:t xml:space="preserve"> system</w:t>
      </w:r>
      <w:r w:rsidR="00D92FBC">
        <w:rPr>
          <w:rFonts w:ascii="Times New Roman" w:hAnsi="Times New Roman" w:cs="Times New Roman"/>
          <w:sz w:val="22"/>
          <w:szCs w:val="22"/>
        </w:rPr>
        <w:t xml:space="preserve"> that is responsive to cross-cutting issues such as nutrition, gender, HIV/AIDS, natural resource management, and climate change</w:t>
      </w:r>
      <w:r w:rsidR="003B5DEB" w:rsidRPr="003556E4">
        <w:rPr>
          <w:rFonts w:ascii="Times New Roman" w:hAnsi="Times New Roman" w:cs="Times New Roman"/>
          <w:sz w:val="22"/>
          <w:szCs w:val="22"/>
        </w:rPr>
        <w:t xml:space="preserve">  </w:t>
      </w:r>
      <w:r w:rsidRPr="003556E4">
        <w:rPr>
          <w:rFonts w:ascii="Times New Roman" w:hAnsi="Times New Roman" w:cs="Times New Roman"/>
          <w:sz w:val="22"/>
          <w:szCs w:val="22"/>
        </w:rPr>
        <w:t>Effective and e</w:t>
      </w:r>
      <w:r w:rsidR="003B5DEB" w:rsidRPr="003556E4">
        <w:rPr>
          <w:rFonts w:ascii="Times New Roman" w:hAnsi="Times New Roman" w:cs="Times New Roman"/>
          <w:sz w:val="22"/>
          <w:szCs w:val="22"/>
        </w:rPr>
        <w:t>fficient implementation of the Policy</w:t>
      </w:r>
      <w:r w:rsidRPr="003556E4">
        <w:rPr>
          <w:rFonts w:ascii="Times New Roman" w:hAnsi="Times New Roman" w:cs="Times New Roman"/>
          <w:sz w:val="22"/>
          <w:szCs w:val="22"/>
        </w:rPr>
        <w:t xml:space="preserve"> </w:t>
      </w:r>
      <w:r w:rsidR="003B5DEB" w:rsidRPr="003556E4">
        <w:rPr>
          <w:rFonts w:ascii="Times New Roman" w:hAnsi="Times New Roman" w:cs="Times New Roman"/>
          <w:sz w:val="22"/>
          <w:szCs w:val="22"/>
        </w:rPr>
        <w:t>will</w:t>
      </w:r>
      <w:r w:rsidR="005904F2" w:rsidRPr="003556E4">
        <w:rPr>
          <w:rFonts w:ascii="Times New Roman" w:hAnsi="Times New Roman" w:cs="Times New Roman"/>
          <w:sz w:val="22"/>
          <w:szCs w:val="22"/>
        </w:rPr>
        <w:t xml:space="preserve"> </w:t>
      </w:r>
      <w:r w:rsidRPr="003556E4">
        <w:rPr>
          <w:rFonts w:ascii="Times New Roman" w:hAnsi="Times New Roman" w:cs="Times New Roman"/>
          <w:sz w:val="22"/>
          <w:szCs w:val="22"/>
        </w:rPr>
        <w:t xml:space="preserve">enable </w:t>
      </w:r>
      <w:r w:rsidR="00D92FBC">
        <w:rPr>
          <w:rFonts w:ascii="Times New Roman" w:hAnsi="Times New Roman" w:cs="Times New Roman"/>
          <w:sz w:val="22"/>
          <w:szCs w:val="22"/>
        </w:rPr>
        <w:t>AEAS</w:t>
      </w:r>
      <w:r w:rsidR="005904F2" w:rsidRPr="003556E4">
        <w:rPr>
          <w:rFonts w:ascii="Times New Roman" w:hAnsi="Times New Roman" w:cs="Times New Roman"/>
          <w:sz w:val="22"/>
          <w:szCs w:val="22"/>
        </w:rPr>
        <w:t xml:space="preserve"> stakeholders</w:t>
      </w:r>
      <w:r w:rsidR="00CB23E6">
        <w:rPr>
          <w:rFonts w:ascii="Times New Roman" w:hAnsi="Times New Roman" w:cs="Times New Roman"/>
          <w:sz w:val="22"/>
          <w:szCs w:val="22"/>
        </w:rPr>
        <w:t xml:space="preserve"> </w:t>
      </w:r>
      <w:r w:rsidR="005904F2" w:rsidRPr="003556E4">
        <w:rPr>
          <w:rFonts w:ascii="Times New Roman" w:hAnsi="Times New Roman" w:cs="Times New Roman"/>
          <w:sz w:val="22"/>
          <w:szCs w:val="22"/>
        </w:rPr>
        <w:t xml:space="preserve">to </w:t>
      </w:r>
      <w:r w:rsidR="003B5DEB" w:rsidRPr="003556E4">
        <w:rPr>
          <w:rFonts w:ascii="Times New Roman" w:hAnsi="Times New Roman" w:cs="Times New Roman"/>
          <w:sz w:val="22"/>
          <w:szCs w:val="22"/>
        </w:rPr>
        <w:t xml:space="preserve">appropriately and sustainably use </w:t>
      </w:r>
      <w:r w:rsidRPr="003556E4">
        <w:rPr>
          <w:rFonts w:ascii="Times New Roman" w:hAnsi="Times New Roman" w:cs="Times New Roman"/>
          <w:sz w:val="22"/>
          <w:szCs w:val="22"/>
        </w:rPr>
        <w:t>th</w:t>
      </w:r>
      <w:r w:rsidR="003B5DEB" w:rsidRPr="003556E4">
        <w:rPr>
          <w:rFonts w:ascii="Times New Roman" w:hAnsi="Times New Roman" w:cs="Times New Roman"/>
          <w:sz w:val="22"/>
          <w:szCs w:val="22"/>
        </w:rPr>
        <w:t xml:space="preserve">eir resources and it will </w:t>
      </w:r>
      <w:r w:rsidRPr="003556E4">
        <w:rPr>
          <w:rFonts w:ascii="Times New Roman" w:hAnsi="Times New Roman" w:cs="Times New Roman"/>
          <w:sz w:val="22"/>
          <w:szCs w:val="22"/>
        </w:rPr>
        <w:t xml:space="preserve">foster the acceleration of </w:t>
      </w:r>
      <w:r w:rsidR="003B5DEB" w:rsidRPr="00B65545">
        <w:rPr>
          <w:rFonts w:ascii="Times New Roman" w:hAnsi="Times New Roman" w:cs="Times New Roman"/>
          <w:sz w:val="22"/>
          <w:szCs w:val="22"/>
        </w:rPr>
        <w:t xml:space="preserve">Liberia’s </w:t>
      </w:r>
      <w:r w:rsidRPr="00B65545">
        <w:rPr>
          <w:rFonts w:ascii="Times New Roman" w:hAnsi="Times New Roman" w:cs="Times New Roman"/>
          <w:sz w:val="22"/>
          <w:szCs w:val="22"/>
        </w:rPr>
        <w:t>soci</w:t>
      </w:r>
      <w:r w:rsidR="005904F2" w:rsidRPr="00B65545">
        <w:rPr>
          <w:rFonts w:ascii="Times New Roman" w:hAnsi="Times New Roman" w:cs="Times New Roman"/>
          <w:sz w:val="22"/>
          <w:szCs w:val="22"/>
        </w:rPr>
        <w:t>o-economic de</w:t>
      </w:r>
      <w:r w:rsidR="003B5DEB" w:rsidRPr="00B65545">
        <w:rPr>
          <w:rFonts w:ascii="Times New Roman" w:hAnsi="Times New Roman" w:cs="Times New Roman"/>
          <w:sz w:val="22"/>
          <w:szCs w:val="22"/>
        </w:rPr>
        <w:t>velopment.</w:t>
      </w:r>
      <w:r w:rsidR="00B44B2E">
        <w:rPr>
          <w:rFonts w:ascii="Times New Roman" w:hAnsi="Times New Roman" w:cs="Times New Roman"/>
          <w:sz w:val="22"/>
          <w:szCs w:val="22"/>
        </w:rPr>
        <w:t xml:space="preserve"> </w:t>
      </w:r>
    </w:p>
    <w:p w:rsidR="009C30B5" w:rsidRPr="009C30B5" w:rsidRDefault="009C30B5" w:rsidP="00ED3BAE">
      <w:pPr>
        <w:spacing w:after="0" w:line="240" w:lineRule="auto"/>
        <w:jc w:val="both"/>
      </w:pPr>
    </w:p>
    <w:p w:rsidR="00DB0F4C" w:rsidRPr="00B65545" w:rsidRDefault="008D5ECD" w:rsidP="00ED3BAE">
      <w:pPr>
        <w:pStyle w:val="Pa1"/>
        <w:spacing w:line="240" w:lineRule="auto"/>
        <w:jc w:val="both"/>
        <w:rPr>
          <w:rFonts w:ascii="Times New Roman" w:hAnsi="Times New Roman" w:cs="Times New Roman"/>
          <w:b/>
          <w:sz w:val="22"/>
          <w:szCs w:val="22"/>
        </w:rPr>
      </w:pPr>
      <w:r>
        <w:rPr>
          <w:rFonts w:ascii="Times New Roman" w:hAnsi="Times New Roman" w:cs="Times New Roman"/>
          <w:b/>
          <w:sz w:val="22"/>
          <w:szCs w:val="22"/>
        </w:rPr>
        <w:t>2</w:t>
      </w:r>
      <w:r w:rsidR="00DA517C" w:rsidRPr="00B65545">
        <w:rPr>
          <w:rFonts w:ascii="Times New Roman" w:hAnsi="Times New Roman" w:cs="Times New Roman"/>
          <w:b/>
          <w:sz w:val="22"/>
          <w:szCs w:val="22"/>
        </w:rPr>
        <w:t>.</w:t>
      </w:r>
      <w:r w:rsidR="0007463F">
        <w:rPr>
          <w:rFonts w:ascii="Times New Roman" w:hAnsi="Times New Roman" w:cs="Times New Roman"/>
          <w:b/>
          <w:sz w:val="22"/>
          <w:szCs w:val="22"/>
        </w:rPr>
        <w:t>2</w:t>
      </w:r>
      <w:r w:rsidR="00DA517C" w:rsidRPr="00B65545">
        <w:rPr>
          <w:rFonts w:ascii="Times New Roman" w:hAnsi="Times New Roman" w:cs="Times New Roman"/>
          <w:b/>
          <w:sz w:val="22"/>
          <w:szCs w:val="22"/>
        </w:rPr>
        <w:t xml:space="preserve"> </w:t>
      </w:r>
      <w:r w:rsidR="003B5DEB" w:rsidRPr="00B65545">
        <w:rPr>
          <w:rFonts w:ascii="Times New Roman" w:hAnsi="Times New Roman" w:cs="Times New Roman"/>
          <w:b/>
          <w:sz w:val="22"/>
          <w:szCs w:val="22"/>
        </w:rPr>
        <w:tab/>
      </w:r>
      <w:r w:rsidR="00D94443" w:rsidRPr="00B65545">
        <w:rPr>
          <w:rFonts w:ascii="Times New Roman" w:hAnsi="Times New Roman" w:cs="Times New Roman"/>
          <w:b/>
          <w:sz w:val="22"/>
          <w:szCs w:val="22"/>
        </w:rPr>
        <w:t>Vision</w:t>
      </w:r>
      <w:r w:rsidR="00DA517C" w:rsidRPr="00B65545">
        <w:rPr>
          <w:rFonts w:ascii="Times New Roman" w:hAnsi="Times New Roman" w:cs="Times New Roman"/>
          <w:b/>
          <w:sz w:val="22"/>
          <w:szCs w:val="22"/>
        </w:rPr>
        <w:t xml:space="preserve"> </w:t>
      </w:r>
      <w:r w:rsidR="007265AB" w:rsidRPr="00B65545">
        <w:rPr>
          <w:rFonts w:ascii="Times New Roman" w:hAnsi="Times New Roman" w:cs="Times New Roman"/>
          <w:b/>
          <w:sz w:val="22"/>
          <w:szCs w:val="22"/>
        </w:rPr>
        <w:t>and Mission</w:t>
      </w:r>
    </w:p>
    <w:p w:rsidR="00B04FFC" w:rsidRPr="003556E4" w:rsidRDefault="00B04FFC" w:rsidP="00ED3BAE">
      <w:pPr>
        <w:pStyle w:val="ListParagraph"/>
        <w:spacing w:line="240" w:lineRule="auto"/>
        <w:ind w:left="0"/>
        <w:jc w:val="both"/>
        <w:rPr>
          <w:rFonts w:ascii="Times New Roman" w:hAnsi="Times New Roman"/>
        </w:rPr>
      </w:pPr>
    </w:p>
    <w:p w:rsidR="008256F4" w:rsidRPr="003556E4" w:rsidRDefault="00627677" w:rsidP="00ED3BAE">
      <w:pPr>
        <w:pStyle w:val="ListParagraph"/>
        <w:spacing w:line="240" w:lineRule="auto"/>
        <w:ind w:left="0"/>
        <w:jc w:val="both"/>
        <w:rPr>
          <w:rFonts w:ascii="Times New Roman" w:hAnsi="Times New Roman"/>
        </w:rPr>
      </w:pPr>
      <w:r w:rsidRPr="003556E4">
        <w:rPr>
          <w:rFonts w:ascii="Times New Roman" w:hAnsi="Times New Roman"/>
        </w:rPr>
        <w:t xml:space="preserve">The Vision of the policy is </w:t>
      </w:r>
      <w:r w:rsidR="00CE160C">
        <w:rPr>
          <w:rFonts w:ascii="Times New Roman" w:hAnsi="Times New Roman"/>
        </w:rPr>
        <w:t xml:space="preserve">organized groups of </w:t>
      </w:r>
      <w:r w:rsidR="00D9067D" w:rsidRPr="003556E4">
        <w:rPr>
          <w:rFonts w:ascii="Times New Roman" w:hAnsi="Times New Roman"/>
        </w:rPr>
        <w:t>Liberian agricultural extension</w:t>
      </w:r>
      <w:r w:rsidR="00CE160C">
        <w:rPr>
          <w:rFonts w:ascii="Times New Roman" w:hAnsi="Times New Roman"/>
        </w:rPr>
        <w:t xml:space="preserve"> and advisory service</w:t>
      </w:r>
      <w:r w:rsidR="00D9067D" w:rsidRPr="003556E4">
        <w:rPr>
          <w:rFonts w:ascii="Times New Roman" w:hAnsi="Times New Roman"/>
        </w:rPr>
        <w:t xml:space="preserve"> clientele </w:t>
      </w:r>
      <w:r w:rsidR="00784EEC">
        <w:rPr>
          <w:rFonts w:ascii="Times New Roman" w:hAnsi="Times New Roman"/>
        </w:rPr>
        <w:t xml:space="preserve">across the country </w:t>
      </w:r>
      <w:r w:rsidR="00E218EB">
        <w:rPr>
          <w:rFonts w:ascii="Times New Roman" w:hAnsi="Times New Roman"/>
        </w:rPr>
        <w:t>demanding and accessing</w:t>
      </w:r>
      <w:r w:rsidR="00CE160C">
        <w:rPr>
          <w:rFonts w:ascii="Times New Roman" w:hAnsi="Times New Roman"/>
        </w:rPr>
        <w:t xml:space="preserve"> </w:t>
      </w:r>
      <w:r w:rsidR="007265AB">
        <w:rPr>
          <w:rFonts w:ascii="Times New Roman" w:hAnsi="Times New Roman"/>
        </w:rPr>
        <w:t>at the right time and the right place,</w:t>
      </w:r>
      <w:r w:rsidR="00D9067D" w:rsidRPr="003556E4">
        <w:rPr>
          <w:rFonts w:ascii="Times New Roman" w:hAnsi="Times New Roman"/>
        </w:rPr>
        <w:t xml:space="preserve"> high-quality</w:t>
      </w:r>
      <w:r w:rsidR="003556E4">
        <w:rPr>
          <w:rFonts w:ascii="Times New Roman" w:hAnsi="Times New Roman"/>
        </w:rPr>
        <w:t xml:space="preserve"> market-appropriate</w:t>
      </w:r>
      <w:r w:rsidR="00D9067D" w:rsidRPr="003556E4">
        <w:rPr>
          <w:rFonts w:ascii="Times New Roman" w:hAnsi="Times New Roman"/>
        </w:rPr>
        <w:t xml:space="preserve"> extension and advisory services from providers of their choice</w:t>
      </w:r>
      <w:r w:rsidR="007265AB">
        <w:rPr>
          <w:rFonts w:ascii="Times New Roman" w:hAnsi="Times New Roman"/>
        </w:rPr>
        <w:t xml:space="preserve"> and contributing to the cost of these services.</w:t>
      </w:r>
    </w:p>
    <w:p w:rsidR="00B04FFC" w:rsidRPr="003556E4" w:rsidRDefault="00B04FFC" w:rsidP="00ED3BAE">
      <w:pPr>
        <w:pStyle w:val="ListParagraph"/>
        <w:spacing w:line="240" w:lineRule="auto"/>
        <w:ind w:left="0"/>
        <w:jc w:val="both"/>
        <w:rPr>
          <w:rFonts w:ascii="Times New Roman" w:hAnsi="Times New Roman"/>
        </w:rPr>
      </w:pPr>
    </w:p>
    <w:p w:rsidR="00415910" w:rsidRPr="003556E4" w:rsidRDefault="00415910" w:rsidP="00ED3BAE">
      <w:pPr>
        <w:pStyle w:val="ListParagraph"/>
        <w:spacing w:line="240" w:lineRule="auto"/>
        <w:ind w:left="0"/>
        <w:jc w:val="both"/>
        <w:rPr>
          <w:rFonts w:ascii="Times New Roman" w:hAnsi="Times New Roman"/>
          <w:b/>
        </w:rPr>
      </w:pPr>
      <w:r w:rsidRPr="003556E4">
        <w:rPr>
          <w:rFonts w:ascii="Times New Roman" w:hAnsi="Times New Roman"/>
        </w:rPr>
        <w:t>T</w:t>
      </w:r>
      <w:r w:rsidR="001126E9" w:rsidRPr="003556E4">
        <w:rPr>
          <w:rFonts w:ascii="Times New Roman" w:hAnsi="Times New Roman"/>
        </w:rPr>
        <w:t>he Mission of the policy is t</w:t>
      </w:r>
      <w:r w:rsidRPr="003556E4">
        <w:rPr>
          <w:rFonts w:ascii="Times New Roman" w:hAnsi="Times New Roman"/>
        </w:rPr>
        <w:t xml:space="preserve">o provide </w:t>
      </w:r>
      <w:r w:rsidR="00DA0608">
        <w:rPr>
          <w:rFonts w:ascii="Times New Roman" w:hAnsi="Times New Roman"/>
        </w:rPr>
        <w:t xml:space="preserve">AEAS </w:t>
      </w:r>
      <w:r w:rsidR="00CB23E6">
        <w:rPr>
          <w:rFonts w:ascii="Times New Roman" w:hAnsi="Times New Roman"/>
        </w:rPr>
        <w:t xml:space="preserve">client </w:t>
      </w:r>
      <w:r w:rsidRPr="003556E4">
        <w:rPr>
          <w:rFonts w:ascii="Times New Roman" w:hAnsi="Times New Roman"/>
        </w:rPr>
        <w:t xml:space="preserve">stakeholders </w:t>
      </w:r>
      <w:r w:rsidR="00784EEC">
        <w:rPr>
          <w:rFonts w:ascii="Times New Roman" w:hAnsi="Times New Roman"/>
        </w:rPr>
        <w:t xml:space="preserve">across the country </w:t>
      </w:r>
      <w:r w:rsidRPr="003556E4">
        <w:rPr>
          <w:rFonts w:ascii="Times New Roman" w:hAnsi="Times New Roman"/>
        </w:rPr>
        <w:t xml:space="preserve">with efficient </w:t>
      </w:r>
      <w:r w:rsidR="003556E4">
        <w:rPr>
          <w:rFonts w:ascii="Times New Roman" w:hAnsi="Times New Roman"/>
        </w:rPr>
        <w:t xml:space="preserve">and effective </w:t>
      </w:r>
      <w:r w:rsidR="00D92FBC">
        <w:rPr>
          <w:rFonts w:ascii="Times New Roman" w:hAnsi="Times New Roman"/>
        </w:rPr>
        <w:t xml:space="preserve">AEAS.  </w:t>
      </w:r>
    </w:p>
    <w:p w:rsidR="0007463F" w:rsidRDefault="0007463F" w:rsidP="00ED3BAE">
      <w:pPr>
        <w:pStyle w:val="ListParagraph"/>
        <w:spacing w:line="240" w:lineRule="auto"/>
        <w:ind w:left="360"/>
        <w:jc w:val="both"/>
        <w:rPr>
          <w:rFonts w:ascii="Times New Roman" w:hAnsi="Times New Roman"/>
        </w:rPr>
      </w:pPr>
    </w:p>
    <w:p w:rsidR="001133A1" w:rsidRDefault="001133A1" w:rsidP="00ED3BAE">
      <w:pPr>
        <w:pStyle w:val="ListParagraph"/>
        <w:spacing w:line="240" w:lineRule="auto"/>
        <w:ind w:left="360"/>
        <w:jc w:val="both"/>
        <w:rPr>
          <w:rFonts w:ascii="Times New Roman" w:hAnsi="Times New Roman"/>
        </w:rPr>
      </w:pPr>
    </w:p>
    <w:p w:rsidR="00585810" w:rsidRDefault="0007463F" w:rsidP="00ED3BAE">
      <w:pPr>
        <w:pStyle w:val="ListParagraph"/>
        <w:spacing w:line="240" w:lineRule="auto"/>
        <w:ind w:left="0"/>
        <w:jc w:val="both"/>
        <w:rPr>
          <w:rFonts w:ascii="Times New Roman" w:hAnsi="Times New Roman"/>
          <w:b/>
        </w:rPr>
      </w:pPr>
      <w:r>
        <w:rPr>
          <w:rFonts w:ascii="Times New Roman" w:hAnsi="Times New Roman"/>
          <w:b/>
        </w:rPr>
        <w:t>3.0</w:t>
      </w:r>
      <w:r w:rsidR="007265AB">
        <w:rPr>
          <w:rFonts w:ascii="Times New Roman" w:hAnsi="Times New Roman"/>
          <w:b/>
        </w:rPr>
        <w:tab/>
      </w:r>
      <w:r w:rsidR="00B266DF">
        <w:rPr>
          <w:rFonts w:ascii="Times New Roman" w:hAnsi="Times New Roman"/>
          <w:b/>
        </w:rPr>
        <w:t>AREAS OF POLICY INTERVENTION</w:t>
      </w:r>
    </w:p>
    <w:p w:rsidR="00572242" w:rsidRDefault="00572242" w:rsidP="00ED3BAE">
      <w:pPr>
        <w:pStyle w:val="ListParagraph"/>
        <w:spacing w:line="240" w:lineRule="auto"/>
        <w:jc w:val="both"/>
        <w:rPr>
          <w:rFonts w:ascii="Times New Roman" w:hAnsi="Times New Roman"/>
          <w:b/>
        </w:rPr>
      </w:pPr>
    </w:p>
    <w:p w:rsidR="00572242" w:rsidRDefault="00572242" w:rsidP="00ED3BAE">
      <w:pPr>
        <w:pStyle w:val="ListParagraph"/>
        <w:spacing w:line="240" w:lineRule="auto"/>
        <w:ind w:left="0"/>
        <w:jc w:val="both"/>
        <w:rPr>
          <w:rFonts w:ascii="Times New Roman" w:hAnsi="Times New Roman"/>
        </w:rPr>
      </w:pPr>
      <w:r>
        <w:rPr>
          <w:rFonts w:ascii="Times New Roman" w:hAnsi="Times New Roman"/>
        </w:rPr>
        <w:t>The</w:t>
      </w:r>
      <w:r w:rsidR="00B6090C">
        <w:rPr>
          <w:rFonts w:ascii="Times New Roman" w:hAnsi="Times New Roman"/>
        </w:rPr>
        <w:t xml:space="preserve">re are </w:t>
      </w:r>
      <w:r w:rsidR="00BC4EB9">
        <w:rPr>
          <w:rFonts w:ascii="Times New Roman" w:hAnsi="Times New Roman"/>
        </w:rPr>
        <w:t>five</w:t>
      </w:r>
      <w:r>
        <w:rPr>
          <w:rFonts w:ascii="Times New Roman" w:hAnsi="Times New Roman"/>
        </w:rPr>
        <w:t xml:space="preserve"> primary </w:t>
      </w:r>
      <w:r w:rsidR="00C00943">
        <w:rPr>
          <w:rFonts w:ascii="Times New Roman" w:hAnsi="Times New Roman"/>
        </w:rPr>
        <w:t>areas of policy intervention</w:t>
      </w:r>
      <w:r>
        <w:rPr>
          <w:rFonts w:ascii="Times New Roman" w:hAnsi="Times New Roman"/>
        </w:rPr>
        <w:t xml:space="preserve"> requisite to realizing the Vision and Mission of the National Policy</w:t>
      </w:r>
      <w:r w:rsidR="00080326">
        <w:rPr>
          <w:rFonts w:ascii="Times New Roman" w:hAnsi="Times New Roman"/>
        </w:rPr>
        <w:t xml:space="preserve"> on Agricultural Extension and Advisory Services</w:t>
      </w:r>
      <w:r w:rsidR="00C00943">
        <w:rPr>
          <w:rFonts w:ascii="Times New Roman" w:hAnsi="Times New Roman"/>
        </w:rPr>
        <w:t xml:space="preserve"> and achieving a transformed </w:t>
      </w:r>
      <w:r w:rsidR="00E14062">
        <w:rPr>
          <w:rFonts w:ascii="Times New Roman" w:hAnsi="Times New Roman"/>
        </w:rPr>
        <w:t>A</w:t>
      </w:r>
      <w:r w:rsidR="00B116B9">
        <w:rPr>
          <w:rFonts w:ascii="Times New Roman" w:hAnsi="Times New Roman"/>
        </w:rPr>
        <w:t xml:space="preserve">EAS system.  </w:t>
      </w:r>
      <w:r w:rsidR="00B6090C">
        <w:rPr>
          <w:rFonts w:ascii="Times New Roman" w:hAnsi="Times New Roman"/>
        </w:rPr>
        <w:t>These are</w:t>
      </w:r>
      <w:r w:rsidR="00C00943">
        <w:rPr>
          <w:rFonts w:ascii="Times New Roman" w:hAnsi="Times New Roman"/>
        </w:rPr>
        <w:t xml:space="preserve"> </w:t>
      </w:r>
      <w:r w:rsidR="00DA0608">
        <w:rPr>
          <w:rFonts w:ascii="Times New Roman" w:hAnsi="Times New Roman"/>
        </w:rPr>
        <w:t xml:space="preserve">AEAS </w:t>
      </w:r>
      <w:r w:rsidR="00C00943">
        <w:rPr>
          <w:rFonts w:ascii="Times New Roman" w:hAnsi="Times New Roman"/>
        </w:rPr>
        <w:t>system characteristics</w:t>
      </w:r>
      <w:r w:rsidR="00DD16FB">
        <w:rPr>
          <w:rFonts w:ascii="Times New Roman" w:hAnsi="Times New Roman"/>
        </w:rPr>
        <w:t>;</w:t>
      </w:r>
      <w:r w:rsidR="00C00943">
        <w:rPr>
          <w:rFonts w:ascii="Times New Roman" w:hAnsi="Times New Roman"/>
        </w:rPr>
        <w:t xml:space="preserve"> </w:t>
      </w:r>
      <w:r w:rsidR="00DA0608">
        <w:rPr>
          <w:rFonts w:ascii="Times New Roman" w:hAnsi="Times New Roman"/>
        </w:rPr>
        <w:t xml:space="preserve">AEAS </w:t>
      </w:r>
      <w:r w:rsidR="00CB23E6">
        <w:rPr>
          <w:rFonts w:ascii="Times New Roman" w:hAnsi="Times New Roman"/>
        </w:rPr>
        <w:t xml:space="preserve">client </w:t>
      </w:r>
      <w:r w:rsidR="00B266DF">
        <w:rPr>
          <w:rFonts w:ascii="Times New Roman" w:hAnsi="Times New Roman"/>
        </w:rPr>
        <w:t>stakeholders</w:t>
      </w:r>
      <w:r w:rsidR="00420AA8">
        <w:rPr>
          <w:rFonts w:ascii="Times New Roman" w:hAnsi="Times New Roman"/>
        </w:rPr>
        <w:t xml:space="preserve"> and geographic coverage</w:t>
      </w:r>
      <w:r w:rsidR="00DD16FB">
        <w:rPr>
          <w:rFonts w:ascii="Times New Roman" w:hAnsi="Times New Roman"/>
        </w:rPr>
        <w:t>;</w:t>
      </w:r>
      <w:r w:rsidR="00B266DF">
        <w:rPr>
          <w:rFonts w:ascii="Times New Roman" w:hAnsi="Times New Roman"/>
        </w:rPr>
        <w:t xml:space="preserve"> </w:t>
      </w:r>
      <w:r w:rsidR="00DA0608">
        <w:rPr>
          <w:rFonts w:ascii="Times New Roman" w:hAnsi="Times New Roman"/>
        </w:rPr>
        <w:t xml:space="preserve">AEAS </w:t>
      </w:r>
      <w:r w:rsidR="00DD16FB">
        <w:rPr>
          <w:rFonts w:ascii="Times New Roman" w:hAnsi="Times New Roman"/>
        </w:rPr>
        <w:t xml:space="preserve">content, </w:t>
      </w:r>
      <w:r w:rsidR="00107B27">
        <w:rPr>
          <w:rFonts w:ascii="Times New Roman" w:hAnsi="Times New Roman"/>
        </w:rPr>
        <w:t>approach</w:t>
      </w:r>
      <w:r w:rsidR="00DD16FB">
        <w:rPr>
          <w:rFonts w:ascii="Times New Roman" w:hAnsi="Times New Roman"/>
        </w:rPr>
        <w:t>, and methods;</w:t>
      </w:r>
      <w:r w:rsidR="00107B27">
        <w:rPr>
          <w:rFonts w:ascii="Times New Roman" w:hAnsi="Times New Roman"/>
        </w:rPr>
        <w:t xml:space="preserve"> </w:t>
      </w:r>
      <w:r w:rsidR="00DA0608">
        <w:rPr>
          <w:rFonts w:ascii="Times New Roman" w:hAnsi="Times New Roman"/>
        </w:rPr>
        <w:t xml:space="preserve">AEAS </w:t>
      </w:r>
      <w:r w:rsidR="00C00943">
        <w:rPr>
          <w:rFonts w:ascii="Times New Roman" w:hAnsi="Times New Roman"/>
        </w:rPr>
        <w:t>actor roles and responsibilities</w:t>
      </w:r>
      <w:r w:rsidR="00DD16FB">
        <w:rPr>
          <w:rFonts w:ascii="Times New Roman" w:hAnsi="Times New Roman"/>
        </w:rPr>
        <w:t>;</w:t>
      </w:r>
      <w:r w:rsidR="00C00943">
        <w:rPr>
          <w:rFonts w:ascii="Times New Roman" w:hAnsi="Times New Roman"/>
        </w:rPr>
        <w:t xml:space="preserve"> </w:t>
      </w:r>
      <w:r w:rsidR="00BC4EB9">
        <w:rPr>
          <w:rFonts w:ascii="Times New Roman" w:hAnsi="Times New Roman"/>
        </w:rPr>
        <w:t xml:space="preserve">and </w:t>
      </w:r>
      <w:r w:rsidR="00F20EA6">
        <w:rPr>
          <w:rFonts w:ascii="Times New Roman" w:hAnsi="Times New Roman"/>
        </w:rPr>
        <w:t xml:space="preserve">AEAS </w:t>
      </w:r>
      <w:r w:rsidR="00882D8A">
        <w:rPr>
          <w:rFonts w:ascii="Times New Roman" w:hAnsi="Times New Roman"/>
        </w:rPr>
        <w:t>coordination</w:t>
      </w:r>
      <w:r w:rsidR="00BC4EB9">
        <w:rPr>
          <w:rFonts w:ascii="Times New Roman" w:hAnsi="Times New Roman"/>
        </w:rPr>
        <w:t>.</w:t>
      </w:r>
      <w:r w:rsidR="00C00943">
        <w:rPr>
          <w:rFonts w:ascii="Times New Roman" w:hAnsi="Times New Roman"/>
        </w:rPr>
        <w:t xml:space="preserve">  </w:t>
      </w:r>
      <w:r w:rsidR="00B6090C">
        <w:rPr>
          <w:rFonts w:ascii="Times New Roman" w:hAnsi="Times New Roman"/>
        </w:rPr>
        <w:t xml:space="preserve"> </w:t>
      </w:r>
    </w:p>
    <w:p w:rsidR="00C00943" w:rsidRDefault="00C00943" w:rsidP="00ED3BAE">
      <w:pPr>
        <w:pStyle w:val="ListParagraph"/>
        <w:spacing w:line="240" w:lineRule="auto"/>
        <w:ind w:left="0"/>
        <w:jc w:val="both"/>
        <w:rPr>
          <w:rFonts w:ascii="Times New Roman" w:hAnsi="Times New Roman"/>
        </w:rPr>
      </w:pPr>
    </w:p>
    <w:p w:rsidR="00572242" w:rsidRDefault="0007463F" w:rsidP="00ED3BAE">
      <w:pPr>
        <w:pStyle w:val="ListParagraph"/>
        <w:spacing w:line="240" w:lineRule="auto"/>
        <w:ind w:left="0"/>
        <w:jc w:val="both"/>
        <w:rPr>
          <w:rFonts w:ascii="Times New Roman" w:hAnsi="Times New Roman"/>
          <w:b/>
        </w:rPr>
      </w:pPr>
      <w:r>
        <w:rPr>
          <w:rFonts w:ascii="Times New Roman" w:hAnsi="Times New Roman"/>
          <w:b/>
        </w:rPr>
        <w:t>3.1</w:t>
      </w:r>
      <w:r w:rsidR="00B6090C">
        <w:rPr>
          <w:rFonts w:ascii="Times New Roman" w:hAnsi="Times New Roman"/>
          <w:b/>
        </w:rPr>
        <w:tab/>
      </w:r>
      <w:r w:rsidR="00DA0608">
        <w:rPr>
          <w:rFonts w:ascii="Times New Roman" w:hAnsi="Times New Roman"/>
          <w:b/>
        </w:rPr>
        <w:t xml:space="preserve">AEAS </w:t>
      </w:r>
      <w:r w:rsidR="00C00943">
        <w:rPr>
          <w:rFonts w:ascii="Times New Roman" w:hAnsi="Times New Roman"/>
          <w:b/>
        </w:rPr>
        <w:t>System Characteristics</w:t>
      </w:r>
    </w:p>
    <w:p w:rsidR="00572242" w:rsidRDefault="00572242" w:rsidP="00ED3BAE">
      <w:pPr>
        <w:pStyle w:val="ListParagraph"/>
        <w:spacing w:line="240" w:lineRule="auto"/>
        <w:ind w:left="0"/>
        <w:jc w:val="both"/>
        <w:rPr>
          <w:rFonts w:ascii="Times New Roman" w:hAnsi="Times New Roman"/>
          <w:b/>
        </w:rPr>
      </w:pPr>
    </w:p>
    <w:p w:rsidR="00572242" w:rsidRPr="00572242" w:rsidRDefault="00B6090C" w:rsidP="00ED3BAE">
      <w:pPr>
        <w:pStyle w:val="ListParagraph"/>
        <w:spacing w:line="240" w:lineRule="auto"/>
        <w:ind w:left="0"/>
        <w:jc w:val="both"/>
        <w:rPr>
          <w:rFonts w:ascii="Times New Roman" w:hAnsi="Times New Roman"/>
        </w:rPr>
      </w:pPr>
      <w:r>
        <w:rPr>
          <w:rFonts w:ascii="Times New Roman" w:hAnsi="Times New Roman"/>
        </w:rPr>
        <w:t>The policy encourages</w:t>
      </w:r>
      <w:r w:rsidR="00572242">
        <w:rPr>
          <w:rFonts w:ascii="Times New Roman" w:hAnsi="Times New Roman"/>
        </w:rPr>
        <w:t xml:space="preserve"> the development of a pluralistic, decentralized, demand-driven</w:t>
      </w:r>
      <w:r w:rsidR="0007463F">
        <w:rPr>
          <w:rFonts w:ascii="Times New Roman" w:hAnsi="Times New Roman"/>
        </w:rPr>
        <w:t xml:space="preserve">, and </w:t>
      </w:r>
      <w:r w:rsidR="00572242">
        <w:rPr>
          <w:rFonts w:ascii="Times New Roman" w:hAnsi="Times New Roman"/>
        </w:rPr>
        <w:t>market-oriented system</w:t>
      </w:r>
      <w:r w:rsidR="0007463F">
        <w:rPr>
          <w:rFonts w:ascii="Times New Roman" w:hAnsi="Times New Roman"/>
        </w:rPr>
        <w:t xml:space="preserve"> of </w:t>
      </w:r>
      <w:r w:rsidR="00F62D69">
        <w:rPr>
          <w:rFonts w:ascii="Times New Roman" w:hAnsi="Times New Roman"/>
        </w:rPr>
        <w:t>A</w:t>
      </w:r>
      <w:r w:rsidR="0007463F">
        <w:rPr>
          <w:rFonts w:ascii="Times New Roman" w:hAnsi="Times New Roman"/>
        </w:rPr>
        <w:t>EAS that incorporates cross-cutting issues of priority to the people and Government of Liberia.</w:t>
      </w:r>
    </w:p>
    <w:p w:rsidR="00572242" w:rsidRPr="003556E4" w:rsidRDefault="0007463F" w:rsidP="00ED3BAE">
      <w:pPr>
        <w:tabs>
          <w:tab w:val="left" w:pos="720"/>
        </w:tabs>
        <w:spacing w:after="0" w:line="240" w:lineRule="auto"/>
        <w:jc w:val="both"/>
        <w:rPr>
          <w:rFonts w:ascii="Times New Roman" w:hAnsi="Times New Roman"/>
          <w:b/>
          <w:bCs/>
        </w:rPr>
      </w:pPr>
      <w:r>
        <w:rPr>
          <w:rFonts w:ascii="Times New Roman" w:hAnsi="Times New Roman"/>
          <w:b/>
          <w:bCs/>
        </w:rPr>
        <w:t>3.1.1</w:t>
      </w:r>
      <w:r w:rsidR="00572242" w:rsidRPr="003556E4">
        <w:rPr>
          <w:rFonts w:ascii="Times New Roman" w:hAnsi="Times New Roman"/>
          <w:b/>
          <w:bCs/>
        </w:rPr>
        <w:tab/>
        <w:t xml:space="preserve">Pluralistic </w:t>
      </w:r>
      <w:r w:rsidR="00F62D69">
        <w:rPr>
          <w:rFonts w:ascii="Times New Roman" w:hAnsi="Times New Roman"/>
          <w:b/>
          <w:bCs/>
        </w:rPr>
        <w:t>A</w:t>
      </w:r>
      <w:r w:rsidR="00572242" w:rsidRPr="003556E4">
        <w:rPr>
          <w:rFonts w:ascii="Times New Roman" w:hAnsi="Times New Roman"/>
          <w:b/>
          <w:bCs/>
        </w:rPr>
        <w:t xml:space="preserve">EAS   </w:t>
      </w:r>
    </w:p>
    <w:p w:rsidR="00572242" w:rsidRPr="003556E4" w:rsidRDefault="00572242" w:rsidP="00ED3BAE">
      <w:pPr>
        <w:tabs>
          <w:tab w:val="left" w:pos="720"/>
        </w:tabs>
        <w:spacing w:after="0" w:line="240" w:lineRule="auto"/>
        <w:jc w:val="both"/>
        <w:rPr>
          <w:rFonts w:ascii="Times New Roman" w:hAnsi="Times New Roman"/>
          <w:bCs/>
        </w:rPr>
      </w:pPr>
    </w:p>
    <w:p w:rsidR="00C847C0" w:rsidRDefault="00572242" w:rsidP="00ED3BAE">
      <w:pPr>
        <w:pStyle w:val="FootnoteText"/>
        <w:jc w:val="both"/>
        <w:rPr>
          <w:sz w:val="22"/>
          <w:szCs w:val="22"/>
        </w:rPr>
      </w:pPr>
      <w:r w:rsidRPr="003556E4">
        <w:rPr>
          <w:sz w:val="22"/>
          <w:szCs w:val="22"/>
        </w:rPr>
        <w:t xml:space="preserve">Liberia’s </w:t>
      </w:r>
      <w:r w:rsidR="00F62D69">
        <w:rPr>
          <w:sz w:val="22"/>
          <w:szCs w:val="22"/>
        </w:rPr>
        <w:t>A</w:t>
      </w:r>
      <w:r w:rsidRPr="003556E4">
        <w:rPr>
          <w:sz w:val="22"/>
          <w:szCs w:val="22"/>
        </w:rPr>
        <w:t xml:space="preserve">EAS system </w:t>
      </w:r>
      <w:r w:rsidR="00020689">
        <w:rPr>
          <w:sz w:val="22"/>
          <w:szCs w:val="22"/>
        </w:rPr>
        <w:t xml:space="preserve">of service providers </w:t>
      </w:r>
      <w:r w:rsidRPr="003556E4">
        <w:rPr>
          <w:sz w:val="22"/>
          <w:szCs w:val="22"/>
        </w:rPr>
        <w:t>now encompasses actors from the public, private, and civil society sectors.</w:t>
      </w:r>
      <w:r w:rsidR="0038443B">
        <w:rPr>
          <w:sz w:val="22"/>
          <w:szCs w:val="22"/>
        </w:rPr>
        <w:t xml:space="preserve">  Donors and inter</w:t>
      </w:r>
      <w:r w:rsidR="00A54F54">
        <w:rPr>
          <w:sz w:val="22"/>
          <w:szCs w:val="22"/>
        </w:rPr>
        <w:t>national technical agencies</w:t>
      </w:r>
      <w:r w:rsidR="0038443B">
        <w:rPr>
          <w:sz w:val="22"/>
          <w:szCs w:val="22"/>
        </w:rPr>
        <w:t xml:space="preserve"> are key actors in the AEAS system as a whole. </w:t>
      </w:r>
      <w:r w:rsidR="00B116B9">
        <w:rPr>
          <w:sz w:val="22"/>
          <w:szCs w:val="22"/>
        </w:rPr>
        <w:t xml:space="preserve"> </w:t>
      </w:r>
      <w:r w:rsidR="0038443B">
        <w:rPr>
          <w:sz w:val="22"/>
          <w:szCs w:val="22"/>
        </w:rPr>
        <w:t>The term pluralistic, in the context of pluralistic AEAS, refers specifically to the plurality of actors who provide AEAS servic</w:t>
      </w:r>
      <w:r w:rsidR="00B116B9">
        <w:rPr>
          <w:sz w:val="22"/>
          <w:szCs w:val="22"/>
        </w:rPr>
        <w:t xml:space="preserve">es.  </w:t>
      </w:r>
      <w:r w:rsidR="0038443B">
        <w:rPr>
          <w:sz w:val="22"/>
          <w:szCs w:val="22"/>
        </w:rPr>
        <w:t>Donors and inter</w:t>
      </w:r>
      <w:r w:rsidR="00A54F54">
        <w:rPr>
          <w:sz w:val="22"/>
          <w:szCs w:val="22"/>
        </w:rPr>
        <w:t>national technical agencies</w:t>
      </w:r>
      <w:r w:rsidR="0038443B">
        <w:rPr>
          <w:sz w:val="22"/>
          <w:szCs w:val="22"/>
        </w:rPr>
        <w:t xml:space="preserve"> support many of these providers.</w:t>
      </w:r>
    </w:p>
    <w:p w:rsidR="00C847C0" w:rsidRDefault="00C847C0" w:rsidP="00ED3BAE">
      <w:pPr>
        <w:pStyle w:val="FootnoteText"/>
        <w:jc w:val="both"/>
        <w:rPr>
          <w:sz w:val="22"/>
          <w:szCs w:val="22"/>
        </w:rPr>
      </w:pPr>
    </w:p>
    <w:p w:rsidR="00C847C0" w:rsidRDefault="00572242" w:rsidP="00C847C0">
      <w:pPr>
        <w:pStyle w:val="FootnoteText"/>
        <w:numPr>
          <w:ilvl w:val="0"/>
          <w:numId w:val="25"/>
        </w:numPr>
        <w:jc w:val="both"/>
        <w:rPr>
          <w:sz w:val="22"/>
          <w:szCs w:val="22"/>
        </w:rPr>
      </w:pPr>
      <w:r w:rsidRPr="00C847C0">
        <w:rPr>
          <w:b/>
          <w:sz w:val="22"/>
          <w:szCs w:val="22"/>
        </w:rPr>
        <w:t xml:space="preserve">Public sector </w:t>
      </w:r>
      <w:r w:rsidRPr="00C847C0">
        <w:rPr>
          <w:sz w:val="22"/>
          <w:szCs w:val="22"/>
        </w:rPr>
        <w:t>actors i</w:t>
      </w:r>
      <w:r w:rsidRPr="003556E4">
        <w:rPr>
          <w:sz w:val="22"/>
          <w:szCs w:val="22"/>
        </w:rPr>
        <w:t xml:space="preserve">nclude ministries and other </w:t>
      </w:r>
      <w:r w:rsidR="00576D61">
        <w:rPr>
          <w:sz w:val="22"/>
          <w:szCs w:val="22"/>
        </w:rPr>
        <w:t xml:space="preserve">organizations of the state.  </w:t>
      </w:r>
    </w:p>
    <w:p w:rsidR="00C847C0" w:rsidRDefault="00C847C0" w:rsidP="00C847C0">
      <w:pPr>
        <w:pStyle w:val="FootnoteText"/>
        <w:ind w:left="720"/>
        <w:jc w:val="both"/>
        <w:rPr>
          <w:sz w:val="22"/>
          <w:szCs w:val="22"/>
        </w:rPr>
      </w:pPr>
    </w:p>
    <w:p w:rsidR="00C847C0" w:rsidRDefault="00572242" w:rsidP="00C847C0">
      <w:pPr>
        <w:pStyle w:val="FootnoteText"/>
        <w:numPr>
          <w:ilvl w:val="0"/>
          <w:numId w:val="25"/>
        </w:numPr>
        <w:jc w:val="both"/>
        <w:rPr>
          <w:sz w:val="22"/>
          <w:szCs w:val="22"/>
        </w:rPr>
      </w:pPr>
      <w:r w:rsidRPr="00C847C0">
        <w:rPr>
          <w:b/>
          <w:sz w:val="22"/>
          <w:szCs w:val="22"/>
        </w:rPr>
        <w:t xml:space="preserve">Private sector </w:t>
      </w:r>
      <w:r w:rsidRPr="00C847C0">
        <w:rPr>
          <w:sz w:val="22"/>
          <w:szCs w:val="22"/>
        </w:rPr>
        <w:t xml:space="preserve">actors </w:t>
      </w:r>
      <w:r w:rsidRPr="003556E4">
        <w:rPr>
          <w:sz w:val="22"/>
          <w:szCs w:val="22"/>
        </w:rPr>
        <w:t>include farm households</w:t>
      </w:r>
      <w:r w:rsidR="00576D61">
        <w:rPr>
          <w:sz w:val="22"/>
          <w:szCs w:val="22"/>
        </w:rPr>
        <w:t>;</w:t>
      </w:r>
      <w:r w:rsidRPr="003556E4">
        <w:rPr>
          <w:sz w:val="22"/>
          <w:szCs w:val="22"/>
        </w:rPr>
        <w:t xml:space="preserve"> </w:t>
      </w:r>
      <w:r w:rsidR="00576D61">
        <w:rPr>
          <w:sz w:val="22"/>
          <w:szCs w:val="22"/>
        </w:rPr>
        <w:t xml:space="preserve">farmer groups, associations, and cooperatives; </w:t>
      </w:r>
      <w:r w:rsidR="00F62D69">
        <w:rPr>
          <w:sz w:val="22"/>
          <w:szCs w:val="22"/>
        </w:rPr>
        <w:t xml:space="preserve">agribusinesses including </w:t>
      </w:r>
      <w:r>
        <w:rPr>
          <w:sz w:val="22"/>
          <w:szCs w:val="22"/>
        </w:rPr>
        <w:t>input suppliers</w:t>
      </w:r>
      <w:r w:rsidR="00576D61">
        <w:rPr>
          <w:sz w:val="22"/>
          <w:szCs w:val="22"/>
        </w:rPr>
        <w:t xml:space="preserve">; </w:t>
      </w:r>
      <w:r w:rsidRPr="003556E4">
        <w:rPr>
          <w:sz w:val="22"/>
          <w:szCs w:val="22"/>
        </w:rPr>
        <w:t>and other profit-oriented firms</w:t>
      </w:r>
      <w:r w:rsidR="00286120">
        <w:rPr>
          <w:sz w:val="22"/>
          <w:szCs w:val="22"/>
        </w:rPr>
        <w:t xml:space="preserve"> such as concessions</w:t>
      </w:r>
      <w:r w:rsidRPr="003556E4">
        <w:rPr>
          <w:sz w:val="22"/>
          <w:szCs w:val="22"/>
        </w:rPr>
        <w:t xml:space="preserve">  </w:t>
      </w:r>
    </w:p>
    <w:p w:rsidR="00C847C0" w:rsidRDefault="00C847C0" w:rsidP="00C847C0">
      <w:pPr>
        <w:pStyle w:val="FootnoteText"/>
        <w:ind w:left="720"/>
        <w:jc w:val="both"/>
        <w:rPr>
          <w:sz w:val="22"/>
          <w:szCs w:val="22"/>
        </w:rPr>
      </w:pPr>
    </w:p>
    <w:p w:rsidR="00882D8A" w:rsidRDefault="00C847C0" w:rsidP="00C847C0">
      <w:pPr>
        <w:pStyle w:val="FootnoteText"/>
        <w:numPr>
          <w:ilvl w:val="0"/>
          <w:numId w:val="25"/>
        </w:numPr>
        <w:jc w:val="both"/>
        <w:rPr>
          <w:sz w:val="22"/>
          <w:szCs w:val="22"/>
        </w:rPr>
      </w:pPr>
      <w:r w:rsidRPr="00C847C0">
        <w:rPr>
          <w:b/>
          <w:sz w:val="22"/>
          <w:szCs w:val="22"/>
        </w:rPr>
        <w:t>C</w:t>
      </w:r>
      <w:r w:rsidR="00572242" w:rsidRPr="00C847C0">
        <w:rPr>
          <w:b/>
          <w:sz w:val="22"/>
          <w:szCs w:val="22"/>
        </w:rPr>
        <w:t>ivil society sector</w:t>
      </w:r>
      <w:r w:rsidR="00572242" w:rsidRPr="003556E4">
        <w:rPr>
          <w:sz w:val="22"/>
          <w:szCs w:val="22"/>
        </w:rPr>
        <w:t xml:space="preserve"> is comprised of NGOs; educational institutions; </w:t>
      </w:r>
      <w:r w:rsidR="00572242">
        <w:rPr>
          <w:sz w:val="22"/>
          <w:szCs w:val="22"/>
        </w:rPr>
        <w:t xml:space="preserve">the media; </w:t>
      </w:r>
      <w:r w:rsidR="00572242" w:rsidRPr="003556E4">
        <w:rPr>
          <w:sz w:val="22"/>
          <w:szCs w:val="22"/>
        </w:rPr>
        <w:t>and other civil society community-based organizations.</w:t>
      </w:r>
      <w:r w:rsidR="00572242" w:rsidRPr="003556E4">
        <w:rPr>
          <w:rStyle w:val="FootnoteReference"/>
          <w:sz w:val="22"/>
          <w:szCs w:val="22"/>
        </w:rPr>
        <w:footnoteReference w:id="8"/>
      </w:r>
      <w:r w:rsidR="00882D8A">
        <w:rPr>
          <w:sz w:val="22"/>
          <w:szCs w:val="22"/>
        </w:rPr>
        <w:t xml:space="preserve">  </w:t>
      </w:r>
    </w:p>
    <w:p w:rsidR="00DA0608" w:rsidRDefault="00DA0608" w:rsidP="00DA0608">
      <w:pPr>
        <w:pStyle w:val="FootnoteText"/>
        <w:ind w:left="720"/>
        <w:jc w:val="both"/>
        <w:rPr>
          <w:sz w:val="22"/>
          <w:szCs w:val="22"/>
        </w:rPr>
      </w:pPr>
    </w:p>
    <w:p w:rsidR="00572242" w:rsidRDefault="00572242" w:rsidP="00882D8A">
      <w:pPr>
        <w:pStyle w:val="FootnoteText"/>
        <w:jc w:val="both"/>
        <w:rPr>
          <w:sz w:val="22"/>
          <w:szCs w:val="22"/>
        </w:rPr>
      </w:pPr>
      <w:r w:rsidRPr="003556E4">
        <w:rPr>
          <w:sz w:val="22"/>
          <w:szCs w:val="22"/>
        </w:rPr>
        <w:t xml:space="preserve">In addition to the idea that these sectors filled a vacuum as public sector extension declined, the basic reasoning for promoting pluralism is to tackle extension constraints of coverage and financing.  Public sector extension has insufficient number of agents to reach the high numbers of widely-dispersed and hard to reach smallholders.  Engaging others via a pluralistic system will help extension coverage.  Public sector extension has </w:t>
      </w:r>
      <w:r w:rsidR="00FE7CA6">
        <w:rPr>
          <w:sz w:val="22"/>
          <w:szCs w:val="22"/>
        </w:rPr>
        <w:t xml:space="preserve">less than sufficient </w:t>
      </w:r>
      <w:r w:rsidRPr="003556E4">
        <w:rPr>
          <w:sz w:val="22"/>
          <w:szCs w:val="22"/>
        </w:rPr>
        <w:t xml:space="preserve">funds </w:t>
      </w:r>
      <w:r w:rsidR="00FE7CA6">
        <w:rPr>
          <w:sz w:val="22"/>
          <w:szCs w:val="22"/>
        </w:rPr>
        <w:t xml:space="preserve">needed </w:t>
      </w:r>
      <w:r w:rsidRPr="003556E4">
        <w:rPr>
          <w:sz w:val="22"/>
          <w:szCs w:val="22"/>
        </w:rPr>
        <w:t xml:space="preserve">to </w:t>
      </w:r>
      <w:r w:rsidR="00F62D69">
        <w:rPr>
          <w:sz w:val="22"/>
          <w:szCs w:val="22"/>
        </w:rPr>
        <w:t xml:space="preserve">fully </w:t>
      </w:r>
      <w:r w:rsidRPr="003556E4">
        <w:rPr>
          <w:sz w:val="22"/>
          <w:szCs w:val="22"/>
        </w:rPr>
        <w:t xml:space="preserve">support both its staff and programs.  Diversifying the providers of extension and advisory services </w:t>
      </w:r>
      <w:r w:rsidR="00AB161F">
        <w:rPr>
          <w:sz w:val="22"/>
          <w:szCs w:val="22"/>
        </w:rPr>
        <w:t>is expected to bring additional funding to service provision (though not necessarily to the public sector).</w:t>
      </w:r>
      <w:r w:rsidRPr="003556E4">
        <w:rPr>
          <w:sz w:val="22"/>
          <w:szCs w:val="22"/>
        </w:rPr>
        <w:t xml:space="preserve">  </w:t>
      </w:r>
      <w:r w:rsidR="00AB161F">
        <w:rPr>
          <w:sz w:val="22"/>
          <w:szCs w:val="22"/>
        </w:rPr>
        <w:t>Within a pluralistic</w:t>
      </w:r>
      <w:r w:rsidR="001133A1">
        <w:rPr>
          <w:sz w:val="22"/>
          <w:szCs w:val="22"/>
        </w:rPr>
        <w:t xml:space="preserve"> </w:t>
      </w:r>
      <w:r w:rsidR="00AB161F">
        <w:rPr>
          <w:sz w:val="22"/>
          <w:szCs w:val="22"/>
        </w:rPr>
        <w:t>system, the delivery of service and the funding of service can be delinked.</w:t>
      </w:r>
      <w:r w:rsidR="00FE7CA6">
        <w:rPr>
          <w:sz w:val="22"/>
          <w:szCs w:val="22"/>
        </w:rPr>
        <w:t xml:space="preserve">  For example, the p</w:t>
      </w:r>
      <w:r w:rsidR="001133A1">
        <w:rPr>
          <w:sz w:val="22"/>
          <w:szCs w:val="22"/>
        </w:rPr>
        <w:t>ublic sector has</w:t>
      </w:r>
      <w:r w:rsidR="00FE7CA6">
        <w:rPr>
          <w:sz w:val="22"/>
          <w:szCs w:val="22"/>
        </w:rPr>
        <w:t xml:space="preserve"> fund</w:t>
      </w:r>
      <w:r w:rsidR="001133A1">
        <w:rPr>
          <w:sz w:val="22"/>
          <w:szCs w:val="22"/>
        </w:rPr>
        <w:t>ed</w:t>
      </w:r>
      <w:r w:rsidR="00FE7CA6">
        <w:rPr>
          <w:sz w:val="22"/>
          <w:szCs w:val="22"/>
        </w:rPr>
        <w:t xml:space="preserve"> other sectors to deliver </w:t>
      </w:r>
      <w:r w:rsidR="001133A1">
        <w:rPr>
          <w:sz w:val="22"/>
          <w:szCs w:val="22"/>
        </w:rPr>
        <w:t xml:space="preserve">specific </w:t>
      </w:r>
      <w:r w:rsidR="00FE7CA6">
        <w:rPr>
          <w:sz w:val="22"/>
          <w:szCs w:val="22"/>
        </w:rPr>
        <w:t xml:space="preserve">services.  </w:t>
      </w:r>
    </w:p>
    <w:p w:rsidR="00AD2B65" w:rsidRDefault="00AD2B65" w:rsidP="00ED3BAE">
      <w:pPr>
        <w:pStyle w:val="FootnoteText"/>
        <w:jc w:val="both"/>
        <w:rPr>
          <w:sz w:val="22"/>
          <w:szCs w:val="22"/>
        </w:rPr>
      </w:pPr>
    </w:p>
    <w:p w:rsidR="00AD2B65" w:rsidRPr="003556E4" w:rsidRDefault="00C847C0" w:rsidP="00ED3BAE">
      <w:pPr>
        <w:pStyle w:val="FootnoteText"/>
        <w:jc w:val="both"/>
        <w:rPr>
          <w:sz w:val="22"/>
          <w:szCs w:val="22"/>
        </w:rPr>
      </w:pPr>
      <w:r>
        <w:rPr>
          <w:sz w:val="22"/>
          <w:szCs w:val="22"/>
        </w:rPr>
        <w:t>The P</w:t>
      </w:r>
      <w:r w:rsidR="00AD2B65">
        <w:rPr>
          <w:sz w:val="22"/>
          <w:szCs w:val="22"/>
        </w:rPr>
        <w:t>olicy will identify and suggest roles the different sectors (public, private, and civil society) can play in a pl</w:t>
      </w:r>
      <w:r w:rsidR="00343534">
        <w:rPr>
          <w:sz w:val="22"/>
          <w:szCs w:val="22"/>
        </w:rPr>
        <w:t>uralistic system (see Section 3.</w:t>
      </w:r>
      <w:r w:rsidR="00F62D69">
        <w:rPr>
          <w:sz w:val="22"/>
          <w:szCs w:val="22"/>
        </w:rPr>
        <w:t>4</w:t>
      </w:r>
      <w:r w:rsidR="00AD2B65">
        <w:rPr>
          <w:sz w:val="22"/>
          <w:szCs w:val="22"/>
        </w:rPr>
        <w:t xml:space="preserve"> below).  It creates space for, and welcomes, the participation of all sectors in the delivery and funding of </w:t>
      </w:r>
      <w:r w:rsidR="00F62D69">
        <w:rPr>
          <w:sz w:val="22"/>
          <w:szCs w:val="22"/>
        </w:rPr>
        <w:t>A</w:t>
      </w:r>
      <w:r w:rsidR="00AD2B65">
        <w:rPr>
          <w:sz w:val="22"/>
          <w:szCs w:val="22"/>
        </w:rPr>
        <w:t xml:space="preserve">EAS to its various stakeholders.  </w:t>
      </w:r>
      <w:r w:rsidR="003E0B38">
        <w:rPr>
          <w:sz w:val="22"/>
          <w:szCs w:val="22"/>
        </w:rPr>
        <w:t>In particular, it fosters and encourages Public-Private Partnerships.</w:t>
      </w:r>
    </w:p>
    <w:p w:rsidR="00572242" w:rsidRPr="003556E4" w:rsidRDefault="00572242" w:rsidP="00ED3BAE">
      <w:pPr>
        <w:pStyle w:val="FootnoteText"/>
        <w:jc w:val="both"/>
        <w:rPr>
          <w:sz w:val="22"/>
          <w:szCs w:val="22"/>
        </w:rPr>
      </w:pPr>
    </w:p>
    <w:p w:rsidR="00572242" w:rsidRPr="003556E4" w:rsidRDefault="0007463F" w:rsidP="00ED3BAE">
      <w:pPr>
        <w:pStyle w:val="FootnoteText"/>
        <w:jc w:val="both"/>
        <w:rPr>
          <w:b/>
          <w:sz w:val="22"/>
          <w:szCs w:val="22"/>
        </w:rPr>
      </w:pPr>
      <w:r>
        <w:rPr>
          <w:b/>
          <w:sz w:val="22"/>
          <w:szCs w:val="22"/>
        </w:rPr>
        <w:t>3.1.2</w:t>
      </w:r>
      <w:r>
        <w:rPr>
          <w:b/>
          <w:sz w:val="22"/>
          <w:szCs w:val="22"/>
        </w:rPr>
        <w:tab/>
      </w:r>
      <w:r w:rsidR="00572242" w:rsidRPr="003556E4">
        <w:rPr>
          <w:b/>
          <w:sz w:val="22"/>
          <w:szCs w:val="22"/>
        </w:rPr>
        <w:t xml:space="preserve">Decentralized </w:t>
      </w:r>
      <w:r w:rsidR="00F62D69">
        <w:rPr>
          <w:b/>
          <w:sz w:val="22"/>
          <w:szCs w:val="22"/>
        </w:rPr>
        <w:t>A</w:t>
      </w:r>
      <w:r w:rsidR="00572242" w:rsidRPr="003556E4">
        <w:rPr>
          <w:b/>
          <w:sz w:val="22"/>
          <w:szCs w:val="22"/>
        </w:rPr>
        <w:t>EAS</w:t>
      </w:r>
    </w:p>
    <w:p w:rsidR="00572242" w:rsidRPr="003556E4" w:rsidRDefault="00572242" w:rsidP="00ED3BAE">
      <w:pPr>
        <w:pStyle w:val="FootnoteText"/>
        <w:jc w:val="both"/>
        <w:rPr>
          <w:sz w:val="22"/>
          <w:szCs w:val="22"/>
        </w:rPr>
      </w:pPr>
    </w:p>
    <w:p w:rsidR="00572242" w:rsidRDefault="00572242" w:rsidP="00ED3BAE">
      <w:pPr>
        <w:pStyle w:val="FootnoteText"/>
        <w:jc w:val="both"/>
        <w:rPr>
          <w:sz w:val="22"/>
          <w:szCs w:val="22"/>
        </w:rPr>
      </w:pPr>
      <w:r w:rsidRPr="003556E4">
        <w:rPr>
          <w:sz w:val="22"/>
          <w:szCs w:val="22"/>
        </w:rPr>
        <w:t xml:space="preserve">Decentralized public sector extension involves transferring government decision-making and funding support to lower levels and increasing local government involvement in extension activities, including outsourcing (or contracting-out) extension activities.  </w:t>
      </w:r>
      <w:r>
        <w:rPr>
          <w:sz w:val="22"/>
          <w:szCs w:val="22"/>
        </w:rPr>
        <w:t>D</w:t>
      </w:r>
      <w:r w:rsidRPr="003556E4">
        <w:rPr>
          <w:sz w:val="22"/>
          <w:szCs w:val="22"/>
        </w:rPr>
        <w:t>ecentralization also considers the degree of decision-making authority transferred to rural people from participation in extension programming to control over specific financing.</w:t>
      </w:r>
      <w:r w:rsidR="00177E09">
        <w:rPr>
          <w:sz w:val="22"/>
          <w:szCs w:val="22"/>
        </w:rPr>
        <w:t xml:space="preserve">   </w:t>
      </w:r>
      <w:r>
        <w:rPr>
          <w:sz w:val="22"/>
          <w:szCs w:val="22"/>
        </w:rPr>
        <w:t>The principle of subsidiarity underlies d</w:t>
      </w:r>
      <w:r w:rsidRPr="003556E4">
        <w:rPr>
          <w:sz w:val="22"/>
          <w:szCs w:val="22"/>
        </w:rPr>
        <w:t>ece</w:t>
      </w:r>
      <w:r>
        <w:rPr>
          <w:sz w:val="22"/>
          <w:szCs w:val="22"/>
        </w:rPr>
        <w:t xml:space="preserve">ntralization, supporting the </w:t>
      </w:r>
      <w:r w:rsidRPr="003556E4">
        <w:rPr>
          <w:sz w:val="22"/>
          <w:szCs w:val="22"/>
        </w:rPr>
        <w:t xml:space="preserve">move away from a top-down </w:t>
      </w:r>
      <w:r>
        <w:rPr>
          <w:sz w:val="22"/>
          <w:szCs w:val="22"/>
        </w:rPr>
        <w:t xml:space="preserve">decision-making </w:t>
      </w:r>
      <w:r w:rsidRPr="003556E4">
        <w:rPr>
          <w:sz w:val="22"/>
          <w:szCs w:val="22"/>
        </w:rPr>
        <w:t xml:space="preserve">model. </w:t>
      </w:r>
      <w:r w:rsidR="00B116B9">
        <w:rPr>
          <w:sz w:val="22"/>
          <w:szCs w:val="22"/>
        </w:rPr>
        <w:t xml:space="preserve"> </w:t>
      </w:r>
      <w:r w:rsidRPr="003556E4">
        <w:rPr>
          <w:sz w:val="22"/>
          <w:szCs w:val="22"/>
        </w:rPr>
        <w:t xml:space="preserve">Liberia has moved MOA </w:t>
      </w:r>
      <w:r w:rsidR="00286120">
        <w:rPr>
          <w:sz w:val="22"/>
          <w:szCs w:val="22"/>
        </w:rPr>
        <w:t xml:space="preserve">extension </w:t>
      </w:r>
      <w:r w:rsidRPr="003556E4">
        <w:rPr>
          <w:sz w:val="22"/>
          <w:szCs w:val="22"/>
        </w:rPr>
        <w:t>staff from central to county and district-levels and promotes the decentralization process.  Within the framework of guidance from MOA at the national-level, operational decisions have been decentralized to county-level MOA staff.  Discussions regarding further decentralization of MOA decision-making and funding continue.</w:t>
      </w:r>
    </w:p>
    <w:p w:rsidR="000A16CD" w:rsidRDefault="000A16CD" w:rsidP="00ED3BAE">
      <w:pPr>
        <w:pStyle w:val="FootnoteText"/>
        <w:jc w:val="both"/>
        <w:rPr>
          <w:sz w:val="22"/>
          <w:szCs w:val="22"/>
        </w:rPr>
      </w:pPr>
    </w:p>
    <w:p w:rsidR="003E0B38" w:rsidRPr="003556E4" w:rsidRDefault="000A16CD" w:rsidP="00ED3BAE">
      <w:pPr>
        <w:pStyle w:val="FootnoteText"/>
        <w:jc w:val="both"/>
        <w:rPr>
          <w:sz w:val="22"/>
          <w:szCs w:val="22"/>
        </w:rPr>
      </w:pPr>
      <w:r>
        <w:rPr>
          <w:sz w:val="22"/>
          <w:szCs w:val="22"/>
        </w:rPr>
        <w:t xml:space="preserve">The policy supports continued decentralization of select responsibilities of public sector extension to local authorities in the counties, districts, and clans. </w:t>
      </w:r>
      <w:r w:rsidR="00B116B9">
        <w:rPr>
          <w:sz w:val="22"/>
          <w:szCs w:val="22"/>
        </w:rPr>
        <w:t xml:space="preserve"> </w:t>
      </w:r>
      <w:r>
        <w:rPr>
          <w:sz w:val="22"/>
          <w:szCs w:val="22"/>
        </w:rPr>
        <w:t>This will involve strengthening of local ownership, commitment, and accountability at these different levels.</w:t>
      </w:r>
      <w:r w:rsidR="003E0B38">
        <w:rPr>
          <w:sz w:val="22"/>
          <w:szCs w:val="22"/>
        </w:rPr>
        <w:t xml:space="preserve">  To address the principle of subsidiarity relative to farmer participation, the policy establishes a framework of local to national </w:t>
      </w:r>
      <w:r w:rsidR="001133A1">
        <w:rPr>
          <w:sz w:val="22"/>
          <w:szCs w:val="22"/>
        </w:rPr>
        <w:t>platforms</w:t>
      </w:r>
      <w:r w:rsidR="003E0B38">
        <w:rPr>
          <w:sz w:val="22"/>
          <w:szCs w:val="22"/>
        </w:rPr>
        <w:t xml:space="preserve"> whereby farmers, along with other stakeholders, will have substantial input into </w:t>
      </w:r>
      <w:r w:rsidR="001133A1">
        <w:rPr>
          <w:sz w:val="22"/>
          <w:szCs w:val="22"/>
        </w:rPr>
        <w:t xml:space="preserve">planning </w:t>
      </w:r>
      <w:r w:rsidR="003E0B38">
        <w:rPr>
          <w:sz w:val="22"/>
          <w:szCs w:val="22"/>
        </w:rPr>
        <w:t xml:space="preserve">extension programs and </w:t>
      </w:r>
      <w:r w:rsidR="001133A1">
        <w:rPr>
          <w:sz w:val="22"/>
          <w:szCs w:val="22"/>
        </w:rPr>
        <w:t xml:space="preserve">identifying </w:t>
      </w:r>
      <w:r w:rsidR="003E0B38">
        <w:rPr>
          <w:sz w:val="22"/>
          <w:szCs w:val="22"/>
        </w:rPr>
        <w:t>pro</w:t>
      </w:r>
      <w:r w:rsidR="00343534">
        <w:rPr>
          <w:sz w:val="22"/>
          <w:szCs w:val="22"/>
        </w:rPr>
        <w:t>gram priorities (see Section 3.</w:t>
      </w:r>
      <w:r w:rsidR="00F62D69">
        <w:rPr>
          <w:sz w:val="22"/>
          <w:szCs w:val="22"/>
        </w:rPr>
        <w:t>5</w:t>
      </w:r>
      <w:r w:rsidR="009F42DE">
        <w:rPr>
          <w:sz w:val="22"/>
          <w:szCs w:val="22"/>
        </w:rPr>
        <w:t xml:space="preserve"> below</w:t>
      </w:r>
      <w:r w:rsidR="003E0B38">
        <w:rPr>
          <w:sz w:val="22"/>
          <w:szCs w:val="22"/>
        </w:rPr>
        <w:t>).</w:t>
      </w:r>
    </w:p>
    <w:p w:rsidR="00572242" w:rsidRPr="003556E4" w:rsidRDefault="00572242" w:rsidP="00ED3BAE">
      <w:pPr>
        <w:pStyle w:val="FootnoteText"/>
        <w:jc w:val="both"/>
        <w:rPr>
          <w:sz w:val="22"/>
          <w:szCs w:val="22"/>
        </w:rPr>
      </w:pPr>
    </w:p>
    <w:p w:rsidR="00572242" w:rsidRPr="003556E4" w:rsidRDefault="0007463F" w:rsidP="00ED3BAE">
      <w:pPr>
        <w:pStyle w:val="FootnoteText"/>
        <w:jc w:val="both"/>
        <w:rPr>
          <w:b/>
          <w:sz w:val="22"/>
          <w:szCs w:val="22"/>
        </w:rPr>
      </w:pPr>
      <w:r>
        <w:rPr>
          <w:b/>
          <w:sz w:val="22"/>
          <w:szCs w:val="22"/>
        </w:rPr>
        <w:t>3.1.3</w:t>
      </w:r>
      <w:r w:rsidR="00572242" w:rsidRPr="003556E4">
        <w:rPr>
          <w:b/>
          <w:sz w:val="22"/>
          <w:szCs w:val="22"/>
        </w:rPr>
        <w:tab/>
        <w:t xml:space="preserve">Demand-Driven </w:t>
      </w:r>
      <w:r w:rsidR="00F62D69">
        <w:rPr>
          <w:b/>
          <w:sz w:val="22"/>
          <w:szCs w:val="22"/>
        </w:rPr>
        <w:t>A</w:t>
      </w:r>
      <w:r w:rsidR="00572242" w:rsidRPr="003556E4">
        <w:rPr>
          <w:b/>
          <w:sz w:val="22"/>
          <w:szCs w:val="22"/>
        </w:rPr>
        <w:t>EAS</w:t>
      </w:r>
    </w:p>
    <w:p w:rsidR="00572242" w:rsidRPr="003556E4" w:rsidRDefault="00572242" w:rsidP="00ED3BAE">
      <w:pPr>
        <w:tabs>
          <w:tab w:val="left" w:pos="720"/>
        </w:tabs>
        <w:spacing w:after="0" w:line="240" w:lineRule="auto"/>
        <w:jc w:val="both"/>
        <w:rPr>
          <w:rFonts w:ascii="Times New Roman" w:hAnsi="Times New Roman"/>
          <w:bCs/>
        </w:rPr>
      </w:pPr>
    </w:p>
    <w:p w:rsidR="00572242" w:rsidRDefault="00572242" w:rsidP="00ED3BAE">
      <w:pPr>
        <w:pStyle w:val="FootnoteText"/>
        <w:jc w:val="both"/>
        <w:rPr>
          <w:sz w:val="22"/>
          <w:szCs w:val="22"/>
        </w:rPr>
      </w:pPr>
      <w:r w:rsidRPr="003556E4">
        <w:rPr>
          <w:sz w:val="22"/>
          <w:szCs w:val="22"/>
        </w:rPr>
        <w:t>Demand in this context is defined as “what people ask for, need and value so much that they are willing to invest their resources, such as time and money, in order to receive the services”.</w:t>
      </w:r>
      <w:r w:rsidRPr="003556E4">
        <w:rPr>
          <w:rStyle w:val="FootnoteReference"/>
          <w:sz w:val="22"/>
          <w:szCs w:val="22"/>
        </w:rPr>
        <w:footnoteReference w:id="9"/>
      </w:r>
      <w:r w:rsidRPr="003556E4">
        <w:rPr>
          <w:sz w:val="22"/>
          <w:szCs w:val="22"/>
        </w:rPr>
        <w:t xml:space="preserve">   Demand-driven</w:t>
      </w:r>
      <w:r w:rsidR="00FE7CA6">
        <w:rPr>
          <w:sz w:val="22"/>
          <w:szCs w:val="22"/>
        </w:rPr>
        <w:t xml:space="preserve"> </w:t>
      </w:r>
      <w:r w:rsidR="00F62D69">
        <w:rPr>
          <w:sz w:val="22"/>
          <w:szCs w:val="22"/>
        </w:rPr>
        <w:t>A</w:t>
      </w:r>
      <w:r w:rsidRPr="003556E4">
        <w:rPr>
          <w:sz w:val="22"/>
          <w:szCs w:val="22"/>
        </w:rPr>
        <w:t xml:space="preserve">EAS are characterized by accountability of service providers to service users, by the ability of farmers to identify what services they want and/or </w:t>
      </w:r>
      <w:r w:rsidR="001133A1">
        <w:rPr>
          <w:sz w:val="22"/>
          <w:szCs w:val="22"/>
        </w:rPr>
        <w:t xml:space="preserve">to </w:t>
      </w:r>
      <w:r w:rsidRPr="003556E4">
        <w:rPr>
          <w:sz w:val="22"/>
          <w:szCs w:val="22"/>
        </w:rPr>
        <w:t xml:space="preserve">choose among service providers, and by farmers paying in some way for services delivered (e.g., fee-for-service, in-kind contribution, or cost-sharing). </w:t>
      </w:r>
      <w:r w:rsidR="000D4001">
        <w:rPr>
          <w:sz w:val="22"/>
          <w:szCs w:val="22"/>
        </w:rPr>
        <w:t xml:space="preserve"> </w:t>
      </w:r>
      <w:r w:rsidR="00046694">
        <w:rPr>
          <w:sz w:val="22"/>
          <w:szCs w:val="22"/>
        </w:rPr>
        <w:t>Although the d</w:t>
      </w:r>
      <w:r w:rsidR="000D4001">
        <w:rPr>
          <w:sz w:val="22"/>
          <w:szCs w:val="22"/>
        </w:rPr>
        <w:t>emand for public good services such as natural resources management may be weak</w:t>
      </w:r>
      <w:r w:rsidR="00046694">
        <w:rPr>
          <w:sz w:val="22"/>
          <w:szCs w:val="22"/>
        </w:rPr>
        <w:t>,</w:t>
      </w:r>
      <w:r w:rsidR="000D4001">
        <w:rPr>
          <w:sz w:val="22"/>
          <w:szCs w:val="22"/>
        </w:rPr>
        <w:t xml:space="preserve"> </w:t>
      </w:r>
      <w:r w:rsidR="00C908F4">
        <w:rPr>
          <w:sz w:val="22"/>
          <w:szCs w:val="22"/>
        </w:rPr>
        <w:t>t</w:t>
      </w:r>
      <w:r w:rsidR="000D4001">
        <w:rPr>
          <w:sz w:val="22"/>
          <w:szCs w:val="22"/>
        </w:rPr>
        <w:t>h</w:t>
      </w:r>
      <w:r w:rsidR="00C908F4">
        <w:rPr>
          <w:sz w:val="22"/>
          <w:szCs w:val="22"/>
        </w:rPr>
        <w:t>e</w:t>
      </w:r>
      <w:r w:rsidR="000D4001">
        <w:rPr>
          <w:sz w:val="22"/>
          <w:szCs w:val="22"/>
        </w:rPr>
        <w:t>, public sector AEAS will continue to play a major role in their provision.</w:t>
      </w:r>
    </w:p>
    <w:p w:rsidR="000A16CD" w:rsidRDefault="000A16CD" w:rsidP="00ED3BAE">
      <w:pPr>
        <w:pStyle w:val="FootnoteText"/>
        <w:jc w:val="both"/>
        <w:rPr>
          <w:sz w:val="22"/>
          <w:szCs w:val="22"/>
        </w:rPr>
      </w:pPr>
    </w:p>
    <w:p w:rsidR="000A16CD" w:rsidRPr="003556E4" w:rsidRDefault="00C847C0" w:rsidP="00ED3BAE">
      <w:pPr>
        <w:pStyle w:val="FootnoteText"/>
        <w:jc w:val="both"/>
        <w:rPr>
          <w:sz w:val="22"/>
          <w:szCs w:val="22"/>
        </w:rPr>
      </w:pPr>
      <w:r>
        <w:rPr>
          <w:sz w:val="22"/>
          <w:szCs w:val="22"/>
        </w:rPr>
        <w:t>The P</w:t>
      </w:r>
      <w:r w:rsidR="000A16CD">
        <w:rPr>
          <w:sz w:val="22"/>
          <w:szCs w:val="22"/>
        </w:rPr>
        <w:t xml:space="preserve">olicy endorses </w:t>
      </w:r>
      <w:r w:rsidR="00F62D69">
        <w:rPr>
          <w:sz w:val="22"/>
          <w:szCs w:val="22"/>
        </w:rPr>
        <w:t>A</w:t>
      </w:r>
      <w:r w:rsidR="000A16CD">
        <w:rPr>
          <w:sz w:val="22"/>
          <w:szCs w:val="22"/>
        </w:rPr>
        <w:t xml:space="preserve">EAS providers to experiment with mechanisms to increase accountability of service providers to service users using </w:t>
      </w:r>
      <w:r w:rsidR="00F62D69">
        <w:rPr>
          <w:sz w:val="22"/>
          <w:szCs w:val="22"/>
        </w:rPr>
        <w:t>protocols</w:t>
      </w:r>
      <w:r w:rsidR="000A16CD">
        <w:rPr>
          <w:sz w:val="22"/>
          <w:szCs w:val="22"/>
        </w:rPr>
        <w:t xml:space="preserve"> such as </w:t>
      </w:r>
      <w:r w:rsidR="00FE7CA6">
        <w:rPr>
          <w:sz w:val="22"/>
          <w:szCs w:val="22"/>
        </w:rPr>
        <w:t>Memoranda</w:t>
      </w:r>
      <w:r w:rsidR="00D757A2">
        <w:rPr>
          <w:sz w:val="22"/>
          <w:szCs w:val="22"/>
        </w:rPr>
        <w:t xml:space="preserve"> of Understanding </w:t>
      </w:r>
      <w:r w:rsidR="00C70E53">
        <w:rPr>
          <w:sz w:val="22"/>
          <w:szCs w:val="22"/>
        </w:rPr>
        <w:t xml:space="preserve">between users and providers and </w:t>
      </w:r>
      <w:r w:rsidR="000A16CD">
        <w:rPr>
          <w:sz w:val="22"/>
          <w:szCs w:val="22"/>
        </w:rPr>
        <w:t xml:space="preserve">performance </w:t>
      </w:r>
      <w:r w:rsidR="00C70E53">
        <w:rPr>
          <w:sz w:val="22"/>
          <w:szCs w:val="22"/>
        </w:rPr>
        <w:t>agreemen</w:t>
      </w:r>
      <w:r w:rsidR="00B116B9">
        <w:rPr>
          <w:sz w:val="22"/>
          <w:szCs w:val="22"/>
        </w:rPr>
        <w:t xml:space="preserve">ts between users and providers.  </w:t>
      </w:r>
      <w:r w:rsidR="00F62D69">
        <w:rPr>
          <w:sz w:val="22"/>
          <w:szCs w:val="22"/>
        </w:rPr>
        <w:t>A</w:t>
      </w:r>
      <w:r w:rsidR="00C70E53">
        <w:rPr>
          <w:sz w:val="22"/>
          <w:szCs w:val="22"/>
        </w:rPr>
        <w:t xml:space="preserve">EAS providers are responsible for building service users capacity to articulate their needs and demands. </w:t>
      </w:r>
      <w:r w:rsidR="00B116B9">
        <w:rPr>
          <w:sz w:val="22"/>
          <w:szCs w:val="22"/>
        </w:rPr>
        <w:t xml:space="preserve"> </w:t>
      </w:r>
      <w:r w:rsidR="00C70E53">
        <w:rPr>
          <w:sz w:val="22"/>
          <w:szCs w:val="22"/>
        </w:rPr>
        <w:t xml:space="preserve">As different providers become active, farmers are free to choose among them, contingent on their ability to meet provider requirements.  The policy supports a gradual movement toward farmer contribution to costs of services delivered, beginning with a graduated removal of direct subsidies to farmers in the form of free distribution of goods such as seeds and tools. </w:t>
      </w:r>
      <w:r w:rsidR="00B116B9">
        <w:rPr>
          <w:sz w:val="22"/>
          <w:szCs w:val="22"/>
        </w:rPr>
        <w:t xml:space="preserve"> </w:t>
      </w:r>
      <w:r w:rsidR="00C70E53">
        <w:rPr>
          <w:sz w:val="22"/>
          <w:szCs w:val="22"/>
        </w:rPr>
        <w:t xml:space="preserve">This does not apply where goods are provided as a means to decrease risk associated with a </w:t>
      </w:r>
      <w:r w:rsidR="001133A1">
        <w:rPr>
          <w:sz w:val="22"/>
          <w:szCs w:val="22"/>
        </w:rPr>
        <w:t>high-risk innovative</w:t>
      </w:r>
      <w:r w:rsidR="00C70E53">
        <w:rPr>
          <w:sz w:val="22"/>
          <w:szCs w:val="22"/>
        </w:rPr>
        <w:t xml:space="preserve"> or improved agricultural technology or practice. </w:t>
      </w:r>
      <w:r w:rsidR="00B116B9">
        <w:rPr>
          <w:sz w:val="22"/>
          <w:szCs w:val="22"/>
        </w:rPr>
        <w:t xml:space="preserve"> </w:t>
      </w:r>
      <w:r w:rsidR="00C70E53">
        <w:rPr>
          <w:sz w:val="22"/>
          <w:szCs w:val="22"/>
        </w:rPr>
        <w:t xml:space="preserve">Based on the premise that people value what they contribute to, and </w:t>
      </w:r>
      <w:r w:rsidR="00AD2B65">
        <w:rPr>
          <w:sz w:val="22"/>
          <w:szCs w:val="22"/>
        </w:rPr>
        <w:t>feel positive about themselves when they are able to contribute, the goal of this policy element is to slowly but surely increase farmer contributions to</w:t>
      </w:r>
      <w:r w:rsidR="00FE7CA6">
        <w:rPr>
          <w:sz w:val="22"/>
          <w:szCs w:val="22"/>
        </w:rPr>
        <w:t xml:space="preserve"> </w:t>
      </w:r>
      <w:r w:rsidR="00AD2B65">
        <w:rPr>
          <w:sz w:val="22"/>
          <w:szCs w:val="22"/>
        </w:rPr>
        <w:t>the costs of services provided.</w:t>
      </w:r>
      <w:r w:rsidR="000A16CD">
        <w:rPr>
          <w:sz w:val="22"/>
          <w:szCs w:val="22"/>
        </w:rPr>
        <w:t xml:space="preserve"> </w:t>
      </w:r>
    </w:p>
    <w:p w:rsidR="001133A1" w:rsidRPr="003556E4" w:rsidRDefault="001133A1" w:rsidP="00ED3BAE">
      <w:pPr>
        <w:pStyle w:val="FootnoteText"/>
        <w:jc w:val="both"/>
        <w:rPr>
          <w:sz w:val="22"/>
          <w:szCs w:val="22"/>
        </w:rPr>
      </w:pPr>
    </w:p>
    <w:p w:rsidR="00572242" w:rsidRPr="003556E4" w:rsidRDefault="0007463F" w:rsidP="00ED3BAE">
      <w:pPr>
        <w:pStyle w:val="FootnoteText"/>
        <w:jc w:val="both"/>
        <w:rPr>
          <w:b/>
          <w:sz w:val="22"/>
          <w:szCs w:val="22"/>
        </w:rPr>
      </w:pPr>
      <w:r>
        <w:rPr>
          <w:b/>
          <w:sz w:val="22"/>
          <w:szCs w:val="22"/>
        </w:rPr>
        <w:t>3.1.4</w:t>
      </w:r>
      <w:r w:rsidR="00572242" w:rsidRPr="003556E4">
        <w:rPr>
          <w:b/>
          <w:sz w:val="22"/>
          <w:szCs w:val="22"/>
        </w:rPr>
        <w:tab/>
        <w:t xml:space="preserve">Market-Oriented </w:t>
      </w:r>
      <w:r w:rsidR="00F62D69">
        <w:rPr>
          <w:b/>
          <w:sz w:val="22"/>
          <w:szCs w:val="22"/>
        </w:rPr>
        <w:t>A</w:t>
      </w:r>
      <w:r w:rsidR="00572242" w:rsidRPr="003556E4">
        <w:rPr>
          <w:b/>
          <w:sz w:val="22"/>
          <w:szCs w:val="22"/>
        </w:rPr>
        <w:t>EAS</w:t>
      </w:r>
    </w:p>
    <w:p w:rsidR="00572242" w:rsidRPr="003556E4" w:rsidRDefault="00572242" w:rsidP="00ED3BAE">
      <w:pPr>
        <w:pStyle w:val="FootnoteText"/>
        <w:jc w:val="both"/>
        <w:rPr>
          <w:sz w:val="22"/>
          <w:szCs w:val="22"/>
        </w:rPr>
      </w:pPr>
    </w:p>
    <w:p w:rsidR="00572242" w:rsidRDefault="00572242" w:rsidP="00ED3BAE">
      <w:pPr>
        <w:pStyle w:val="FootnoteText"/>
        <w:jc w:val="both"/>
        <w:rPr>
          <w:sz w:val="22"/>
          <w:szCs w:val="22"/>
        </w:rPr>
      </w:pPr>
      <w:r w:rsidRPr="003556E4">
        <w:rPr>
          <w:sz w:val="22"/>
          <w:szCs w:val="22"/>
        </w:rPr>
        <w:t xml:space="preserve">Market-oriented </w:t>
      </w:r>
      <w:r w:rsidR="00F62D69">
        <w:rPr>
          <w:sz w:val="22"/>
          <w:szCs w:val="22"/>
        </w:rPr>
        <w:t>A</w:t>
      </w:r>
      <w:r w:rsidRPr="003556E4">
        <w:rPr>
          <w:sz w:val="22"/>
          <w:szCs w:val="22"/>
        </w:rPr>
        <w:t xml:space="preserve">EAS </w:t>
      </w:r>
      <w:r>
        <w:rPr>
          <w:sz w:val="22"/>
          <w:szCs w:val="22"/>
        </w:rPr>
        <w:t xml:space="preserve">promote value chain approaches and </w:t>
      </w:r>
      <w:r w:rsidRPr="003556E4">
        <w:rPr>
          <w:sz w:val="22"/>
          <w:szCs w:val="22"/>
        </w:rPr>
        <w:t xml:space="preserve">move </w:t>
      </w:r>
      <w:r w:rsidR="00F62D69">
        <w:rPr>
          <w:sz w:val="22"/>
          <w:szCs w:val="22"/>
        </w:rPr>
        <w:t>A</w:t>
      </w:r>
      <w:r>
        <w:rPr>
          <w:sz w:val="22"/>
          <w:szCs w:val="22"/>
        </w:rPr>
        <w:t xml:space="preserve">EAS </w:t>
      </w:r>
      <w:r w:rsidRPr="003556E4">
        <w:rPr>
          <w:sz w:val="22"/>
          <w:szCs w:val="22"/>
        </w:rPr>
        <w:t xml:space="preserve">from a production and technology transfer focus to a focus on markets and on greater involvement in facilitation in market chains.  A market-orientation expands the role of extension from interacting exclusively with farmers to interacting with other actors, such as processors, </w:t>
      </w:r>
      <w:r w:rsidR="001133A1">
        <w:rPr>
          <w:sz w:val="22"/>
          <w:szCs w:val="22"/>
        </w:rPr>
        <w:t xml:space="preserve">consolidators, </w:t>
      </w:r>
      <w:r w:rsidRPr="003556E4">
        <w:rPr>
          <w:sz w:val="22"/>
          <w:szCs w:val="22"/>
        </w:rPr>
        <w:t xml:space="preserve">traders, </w:t>
      </w:r>
      <w:r>
        <w:rPr>
          <w:sz w:val="22"/>
          <w:szCs w:val="22"/>
        </w:rPr>
        <w:t xml:space="preserve">agro-dealers, </w:t>
      </w:r>
      <w:r w:rsidRPr="003556E4">
        <w:rPr>
          <w:sz w:val="22"/>
          <w:szCs w:val="22"/>
        </w:rPr>
        <w:t>ban</w:t>
      </w:r>
      <w:r w:rsidR="00C847C0">
        <w:rPr>
          <w:sz w:val="22"/>
          <w:szCs w:val="22"/>
        </w:rPr>
        <w:t>ks, researchers, and agricultural</w:t>
      </w:r>
      <w:r w:rsidRPr="003556E4">
        <w:rPr>
          <w:sz w:val="22"/>
          <w:szCs w:val="22"/>
        </w:rPr>
        <w:t xml:space="preserve"> educators.</w:t>
      </w:r>
    </w:p>
    <w:p w:rsidR="00AD2B65" w:rsidRDefault="00AD2B65" w:rsidP="00ED3BAE">
      <w:pPr>
        <w:pStyle w:val="FootnoteText"/>
        <w:jc w:val="both"/>
        <w:rPr>
          <w:sz w:val="22"/>
          <w:szCs w:val="22"/>
        </w:rPr>
      </w:pPr>
    </w:p>
    <w:p w:rsidR="00AD2B65" w:rsidRDefault="00AD2B65" w:rsidP="00ED3BAE">
      <w:pPr>
        <w:pStyle w:val="FootnoteText"/>
        <w:jc w:val="both"/>
        <w:rPr>
          <w:sz w:val="22"/>
          <w:szCs w:val="22"/>
        </w:rPr>
      </w:pPr>
      <w:r>
        <w:rPr>
          <w:sz w:val="22"/>
          <w:szCs w:val="22"/>
        </w:rPr>
        <w:t>The policy fosters the promotion of value-chain activities as well as agricultural diversification activities suitable for different farm households as they</w:t>
      </w:r>
      <w:r w:rsidR="00B116B9">
        <w:rPr>
          <w:sz w:val="22"/>
          <w:szCs w:val="22"/>
        </w:rPr>
        <w:t xml:space="preserve"> seek to increase their income.  </w:t>
      </w:r>
      <w:r>
        <w:rPr>
          <w:sz w:val="22"/>
          <w:szCs w:val="22"/>
        </w:rPr>
        <w:t xml:space="preserve">It encourages </w:t>
      </w:r>
      <w:r w:rsidR="00F62D69">
        <w:rPr>
          <w:sz w:val="22"/>
          <w:szCs w:val="22"/>
        </w:rPr>
        <w:t>A</w:t>
      </w:r>
      <w:r>
        <w:rPr>
          <w:sz w:val="22"/>
          <w:szCs w:val="22"/>
        </w:rPr>
        <w:t xml:space="preserve">EAS providers to facilitate interactions among all actors along </w:t>
      </w:r>
      <w:r w:rsidR="00F62D69">
        <w:rPr>
          <w:sz w:val="22"/>
          <w:szCs w:val="22"/>
        </w:rPr>
        <w:t>market</w:t>
      </w:r>
      <w:r>
        <w:rPr>
          <w:sz w:val="22"/>
          <w:szCs w:val="22"/>
        </w:rPr>
        <w:t xml:space="preserve"> chains.</w:t>
      </w:r>
    </w:p>
    <w:p w:rsidR="0007463F" w:rsidRDefault="0007463F" w:rsidP="00ED3BAE">
      <w:pPr>
        <w:pStyle w:val="FootnoteText"/>
        <w:jc w:val="both"/>
        <w:rPr>
          <w:sz w:val="22"/>
          <w:szCs w:val="22"/>
        </w:rPr>
      </w:pPr>
    </w:p>
    <w:p w:rsidR="0007463F" w:rsidRDefault="0007463F" w:rsidP="00ED3BAE">
      <w:pPr>
        <w:pStyle w:val="FootnoteText"/>
        <w:jc w:val="both"/>
        <w:rPr>
          <w:b/>
          <w:sz w:val="22"/>
          <w:szCs w:val="22"/>
        </w:rPr>
      </w:pPr>
      <w:r>
        <w:rPr>
          <w:b/>
          <w:sz w:val="22"/>
          <w:szCs w:val="22"/>
        </w:rPr>
        <w:t>3.1.5</w:t>
      </w:r>
      <w:r>
        <w:rPr>
          <w:b/>
          <w:sz w:val="22"/>
          <w:szCs w:val="22"/>
        </w:rPr>
        <w:tab/>
        <w:t>Cross-Cutting Issues</w:t>
      </w:r>
      <w:r w:rsidRPr="0007463F">
        <w:rPr>
          <w:b/>
          <w:sz w:val="22"/>
          <w:szCs w:val="22"/>
        </w:rPr>
        <w:t xml:space="preserve"> of Priority</w:t>
      </w:r>
    </w:p>
    <w:p w:rsidR="0007463F" w:rsidRDefault="0007463F" w:rsidP="00ED3BAE">
      <w:pPr>
        <w:pStyle w:val="FootnoteText"/>
        <w:jc w:val="both"/>
        <w:rPr>
          <w:b/>
          <w:sz w:val="22"/>
          <w:szCs w:val="22"/>
        </w:rPr>
      </w:pPr>
    </w:p>
    <w:p w:rsidR="000458D8" w:rsidRDefault="0007463F" w:rsidP="00ED3BAE">
      <w:pPr>
        <w:pStyle w:val="FootnoteText"/>
        <w:jc w:val="both"/>
        <w:rPr>
          <w:sz w:val="22"/>
          <w:szCs w:val="22"/>
        </w:rPr>
      </w:pPr>
      <w:r>
        <w:rPr>
          <w:sz w:val="22"/>
          <w:szCs w:val="22"/>
        </w:rPr>
        <w:t xml:space="preserve">A transformed </w:t>
      </w:r>
      <w:r w:rsidR="00A00BCF">
        <w:rPr>
          <w:sz w:val="22"/>
          <w:szCs w:val="22"/>
        </w:rPr>
        <w:t>A</w:t>
      </w:r>
      <w:r>
        <w:rPr>
          <w:sz w:val="22"/>
          <w:szCs w:val="22"/>
        </w:rPr>
        <w:t>EAS system supports related</w:t>
      </w:r>
      <w:r w:rsidR="00B367D6">
        <w:rPr>
          <w:sz w:val="22"/>
          <w:szCs w:val="22"/>
        </w:rPr>
        <w:t xml:space="preserve"> and emerging</w:t>
      </w:r>
      <w:r>
        <w:rPr>
          <w:sz w:val="22"/>
          <w:szCs w:val="22"/>
        </w:rPr>
        <w:t xml:space="preserve"> </w:t>
      </w:r>
      <w:r w:rsidR="00B367D6">
        <w:rPr>
          <w:sz w:val="22"/>
          <w:szCs w:val="22"/>
        </w:rPr>
        <w:t>cross-cutting issues of importance</w:t>
      </w:r>
      <w:r>
        <w:rPr>
          <w:sz w:val="22"/>
          <w:szCs w:val="22"/>
        </w:rPr>
        <w:t xml:space="preserve"> </w:t>
      </w:r>
      <w:r w:rsidR="00B367D6">
        <w:rPr>
          <w:sz w:val="22"/>
          <w:szCs w:val="22"/>
        </w:rPr>
        <w:t xml:space="preserve">to the people and Government of Liberia. </w:t>
      </w:r>
      <w:r w:rsidR="00B116B9">
        <w:rPr>
          <w:sz w:val="22"/>
          <w:szCs w:val="22"/>
        </w:rPr>
        <w:t xml:space="preserve"> </w:t>
      </w:r>
      <w:r w:rsidR="000458D8">
        <w:rPr>
          <w:sz w:val="22"/>
          <w:szCs w:val="22"/>
        </w:rPr>
        <w:t>Currently these include:  gender issues, equity of access</w:t>
      </w:r>
      <w:r w:rsidR="004925DF">
        <w:rPr>
          <w:sz w:val="22"/>
          <w:szCs w:val="22"/>
        </w:rPr>
        <w:t xml:space="preserve"> and participation, HIV/AIDS and other health-related issues,</w:t>
      </w:r>
      <w:r w:rsidR="007708DD">
        <w:rPr>
          <w:sz w:val="22"/>
          <w:szCs w:val="22"/>
        </w:rPr>
        <w:t xml:space="preserve"> nutrition,</w:t>
      </w:r>
      <w:r w:rsidR="004925DF">
        <w:rPr>
          <w:sz w:val="22"/>
          <w:szCs w:val="22"/>
        </w:rPr>
        <w:t xml:space="preserve"> </w:t>
      </w:r>
      <w:r w:rsidR="002C40DC">
        <w:rPr>
          <w:sz w:val="22"/>
          <w:szCs w:val="22"/>
        </w:rPr>
        <w:t>and sustainable natural resources management</w:t>
      </w:r>
      <w:r w:rsidR="00D375AD">
        <w:rPr>
          <w:sz w:val="22"/>
          <w:szCs w:val="22"/>
        </w:rPr>
        <w:t xml:space="preserve"> and climate change</w:t>
      </w:r>
    </w:p>
    <w:p w:rsidR="000458D8" w:rsidRPr="002C40DC" w:rsidRDefault="000458D8" w:rsidP="00ED3BAE">
      <w:pPr>
        <w:pStyle w:val="ListParagraph"/>
        <w:spacing w:line="240" w:lineRule="auto"/>
        <w:jc w:val="both"/>
        <w:rPr>
          <w:rFonts w:ascii="Times New Roman" w:hAnsi="Times New Roman"/>
        </w:rPr>
      </w:pPr>
    </w:p>
    <w:p w:rsidR="00056101" w:rsidRDefault="00A00BCF" w:rsidP="00ED3BAE">
      <w:pPr>
        <w:pStyle w:val="ListParagraph"/>
        <w:numPr>
          <w:ilvl w:val="0"/>
          <w:numId w:val="24"/>
        </w:numPr>
        <w:spacing w:line="240" w:lineRule="auto"/>
        <w:jc w:val="both"/>
        <w:rPr>
          <w:rFonts w:ascii="Times New Roman" w:hAnsi="Times New Roman"/>
        </w:rPr>
      </w:pPr>
      <w:r w:rsidRPr="00790945">
        <w:rPr>
          <w:rFonts w:ascii="Times New Roman" w:hAnsi="Times New Roman"/>
          <w:b/>
          <w:i/>
        </w:rPr>
        <w:t>Gender Issues</w:t>
      </w:r>
      <w:r w:rsidR="001C3592" w:rsidRPr="001C3592">
        <w:rPr>
          <w:rFonts w:ascii="Times New Roman" w:hAnsi="Times New Roman"/>
          <w:b/>
        </w:rPr>
        <w:t>.</w:t>
      </w:r>
      <w:r w:rsidR="001C3592">
        <w:rPr>
          <w:rFonts w:ascii="Times New Roman" w:hAnsi="Times New Roman"/>
        </w:rPr>
        <w:t xml:space="preserve">  </w:t>
      </w:r>
      <w:r w:rsidR="001C3592" w:rsidRPr="001C3592">
        <w:rPr>
          <w:rFonts w:ascii="Times New Roman" w:hAnsi="Times New Roman"/>
        </w:rPr>
        <w:t>The Policy fully supports the inclusion of</w:t>
      </w:r>
      <w:r w:rsidR="001C3592">
        <w:rPr>
          <w:rFonts w:ascii="Times New Roman" w:hAnsi="Times New Roman"/>
          <w:b/>
        </w:rPr>
        <w:t xml:space="preserve"> </w:t>
      </w:r>
      <w:r w:rsidR="001C3592">
        <w:rPr>
          <w:rFonts w:ascii="Times New Roman" w:hAnsi="Times New Roman"/>
        </w:rPr>
        <w:t>g</w:t>
      </w:r>
      <w:r w:rsidR="000458D8" w:rsidRPr="00A00BCF">
        <w:rPr>
          <w:rFonts w:ascii="Times New Roman" w:hAnsi="Times New Roman"/>
        </w:rPr>
        <w:t xml:space="preserve">ender issues in public, private, and civil society sector </w:t>
      </w:r>
      <w:r w:rsidRPr="00A00BCF">
        <w:rPr>
          <w:rFonts w:ascii="Times New Roman" w:hAnsi="Times New Roman"/>
        </w:rPr>
        <w:t>A</w:t>
      </w:r>
      <w:r w:rsidR="000458D8" w:rsidRPr="00A00BCF">
        <w:rPr>
          <w:rFonts w:ascii="Times New Roman" w:hAnsi="Times New Roman"/>
        </w:rPr>
        <w:t>EAS</w:t>
      </w:r>
      <w:r w:rsidR="001C3592">
        <w:rPr>
          <w:rFonts w:ascii="Times New Roman" w:hAnsi="Times New Roman"/>
        </w:rPr>
        <w:t>,</w:t>
      </w:r>
      <w:r w:rsidR="000458D8" w:rsidRPr="00A00BCF">
        <w:rPr>
          <w:rFonts w:ascii="Times New Roman" w:hAnsi="Times New Roman"/>
        </w:rPr>
        <w:t xml:space="preserve"> taking into consideration the unique needs of women farmers.  AEAS are still largely male dominated, both in terms of who receives and who delive</w:t>
      </w:r>
      <w:r w:rsidR="009C2B1F" w:rsidRPr="00A00BCF">
        <w:rPr>
          <w:rFonts w:ascii="Times New Roman" w:hAnsi="Times New Roman"/>
        </w:rPr>
        <w:t xml:space="preserve">rs </w:t>
      </w:r>
      <w:r w:rsidRPr="00A00BCF">
        <w:rPr>
          <w:rFonts w:ascii="Times New Roman" w:hAnsi="Times New Roman"/>
        </w:rPr>
        <w:t>A</w:t>
      </w:r>
      <w:r w:rsidR="009C2B1F" w:rsidRPr="00A00BCF">
        <w:rPr>
          <w:rFonts w:ascii="Times New Roman" w:hAnsi="Times New Roman"/>
        </w:rPr>
        <w:t xml:space="preserve">EAS.  </w:t>
      </w:r>
      <w:r w:rsidR="00EB58AB" w:rsidRPr="00EB58AB">
        <w:rPr>
          <w:rFonts w:ascii="Times New Roman" w:hAnsi="Times New Roman"/>
        </w:rPr>
        <w:t>Hence it is necessary to ensure that women farmers receive information relevant to their agricultur</w:t>
      </w:r>
      <w:r w:rsidR="00EB58AB">
        <w:rPr>
          <w:rFonts w:ascii="Times New Roman" w:hAnsi="Times New Roman"/>
        </w:rPr>
        <w:t xml:space="preserve">al work, particularly </w:t>
      </w:r>
      <w:r w:rsidR="00EB58AB" w:rsidRPr="00EB58AB">
        <w:rPr>
          <w:rFonts w:ascii="Times New Roman" w:hAnsi="Times New Roman"/>
        </w:rPr>
        <w:t>with reference to crops, livestock, and post-harvest technologies.</w:t>
      </w:r>
      <w:r w:rsidR="00EB58AB" w:rsidRPr="00A00BCF">
        <w:rPr>
          <w:rFonts w:ascii="Times New Roman" w:hAnsi="Times New Roman"/>
        </w:rPr>
        <w:t xml:space="preserve"> </w:t>
      </w:r>
      <w:r w:rsidR="00EB58AB">
        <w:rPr>
          <w:rFonts w:ascii="Times New Roman" w:hAnsi="Times New Roman"/>
        </w:rPr>
        <w:t xml:space="preserve"> </w:t>
      </w:r>
      <w:r w:rsidR="000458D8" w:rsidRPr="00A00BCF">
        <w:rPr>
          <w:rFonts w:ascii="Times New Roman" w:hAnsi="Times New Roman"/>
        </w:rPr>
        <w:t>T</w:t>
      </w:r>
      <w:r w:rsidR="002C40DC" w:rsidRPr="00A00BCF">
        <w:rPr>
          <w:rFonts w:ascii="Times New Roman" w:hAnsi="Times New Roman"/>
        </w:rPr>
        <w:t>raining of women i</w:t>
      </w:r>
      <w:r w:rsidR="000458D8" w:rsidRPr="00A00BCF">
        <w:rPr>
          <w:rFonts w:ascii="Times New Roman" w:hAnsi="Times New Roman"/>
        </w:rPr>
        <w:t>n decision-making in the context of farm and home management and family health</w:t>
      </w:r>
      <w:r w:rsidRPr="00A00BCF">
        <w:rPr>
          <w:rFonts w:ascii="Times New Roman" w:hAnsi="Times New Roman"/>
        </w:rPr>
        <w:t xml:space="preserve"> as well as</w:t>
      </w:r>
      <w:r w:rsidR="000458D8" w:rsidRPr="00A00BCF">
        <w:rPr>
          <w:rFonts w:ascii="Times New Roman" w:hAnsi="Times New Roman"/>
        </w:rPr>
        <w:t xml:space="preserve"> training of women on agricultural marketing, particularly with respect to post-harvest processing, on farm value addition</w:t>
      </w:r>
      <w:r w:rsidRPr="00A00BCF">
        <w:rPr>
          <w:rFonts w:ascii="Times New Roman" w:hAnsi="Times New Roman"/>
        </w:rPr>
        <w:t>,</w:t>
      </w:r>
      <w:r w:rsidR="000458D8" w:rsidRPr="00A00BCF">
        <w:rPr>
          <w:rFonts w:ascii="Times New Roman" w:hAnsi="Times New Roman"/>
        </w:rPr>
        <w:t xml:space="preserve"> and market requirements/demand will be provided.  Efforts will be made to provide training for both men and women extension and advisory staff on women’s role in agriculture and rural development and how </w:t>
      </w:r>
      <w:r w:rsidRPr="00A00BCF">
        <w:rPr>
          <w:rFonts w:ascii="Times New Roman" w:hAnsi="Times New Roman"/>
        </w:rPr>
        <w:t>A</w:t>
      </w:r>
      <w:r w:rsidR="000458D8" w:rsidRPr="00A00BCF">
        <w:rPr>
          <w:rFonts w:ascii="Times New Roman" w:hAnsi="Times New Roman"/>
        </w:rPr>
        <w:t xml:space="preserve">EAS could be organized and conducted to meet women’s needs in </w:t>
      </w:r>
      <w:r w:rsidR="003B63CB">
        <w:rPr>
          <w:rFonts w:ascii="Times New Roman" w:hAnsi="Times New Roman"/>
        </w:rPr>
        <w:t>these spheres</w:t>
      </w:r>
      <w:r w:rsidR="00B116B9">
        <w:rPr>
          <w:rFonts w:ascii="Times New Roman" w:hAnsi="Times New Roman"/>
        </w:rPr>
        <w:t xml:space="preserve">.  </w:t>
      </w:r>
      <w:r w:rsidR="003B63CB">
        <w:rPr>
          <w:rFonts w:ascii="Times New Roman" w:hAnsi="Times New Roman"/>
        </w:rPr>
        <w:t xml:space="preserve">As a method to facilitate reaching more women, the policy encourages AEAS in all three sectors to increase the number of female AEAS staff in their employ.  </w:t>
      </w:r>
    </w:p>
    <w:p w:rsidR="00FE7CA6" w:rsidRPr="002C40DC" w:rsidRDefault="00FE7CA6" w:rsidP="00ED3BAE">
      <w:pPr>
        <w:pStyle w:val="ListParagraph"/>
        <w:spacing w:line="240" w:lineRule="auto"/>
        <w:jc w:val="both"/>
        <w:rPr>
          <w:rFonts w:ascii="Times New Roman" w:hAnsi="Times New Roman"/>
        </w:rPr>
      </w:pPr>
    </w:p>
    <w:p w:rsidR="000458D8" w:rsidRPr="002C40DC" w:rsidRDefault="00D375AD" w:rsidP="00ED3BAE">
      <w:pPr>
        <w:pStyle w:val="ListParagraph"/>
        <w:numPr>
          <w:ilvl w:val="0"/>
          <w:numId w:val="16"/>
        </w:numPr>
        <w:spacing w:line="240" w:lineRule="auto"/>
        <w:jc w:val="both"/>
        <w:rPr>
          <w:rFonts w:ascii="Times New Roman" w:hAnsi="Times New Roman"/>
        </w:rPr>
      </w:pPr>
      <w:r w:rsidRPr="00790945">
        <w:rPr>
          <w:rFonts w:ascii="Times New Roman" w:hAnsi="Times New Roman"/>
          <w:b/>
          <w:i/>
        </w:rPr>
        <w:t>Equity of Access and Participation</w:t>
      </w:r>
      <w:r>
        <w:rPr>
          <w:rFonts w:ascii="Times New Roman" w:hAnsi="Times New Roman"/>
          <w:b/>
        </w:rPr>
        <w:t>.</w:t>
      </w:r>
      <w:r w:rsidR="00B116B9">
        <w:rPr>
          <w:rFonts w:ascii="Times New Roman" w:hAnsi="Times New Roman"/>
        </w:rPr>
        <w:t xml:space="preserve">  </w:t>
      </w:r>
      <w:r>
        <w:rPr>
          <w:rFonts w:ascii="Times New Roman" w:hAnsi="Times New Roman"/>
        </w:rPr>
        <w:t>The objective is to i</w:t>
      </w:r>
      <w:r w:rsidR="004925DF" w:rsidRPr="002C40DC">
        <w:rPr>
          <w:rFonts w:ascii="Times New Roman" w:hAnsi="Times New Roman"/>
        </w:rPr>
        <w:t xml:space="preserve">mprove equity of access to and participation in </w:t>
      </w:r>
      <w:r w:rsidR="00A00BCF">
        <w:rPr>
          <w:rFonts w:ascii="Times New Roman" w:hAnsi="Times New Roman"/>
        </w:rPr>
        <w:t>A</w:t>
      </w:r>
      <w:r w:rsidR="004925DF" w:rsidRPr="002C40DC">
        <w:rPr>
          <w:rFonts w:ascii="Times New Roman" w:hAnsi="Times New Roman"/>
        </w:rPr>
        <w:t xml:space="preserve">EAS by </w:t>
      </w:r>
      <w:r w:rsidR="000458D8" w:rsidRPr="002C40DC">
        <w:rPr>
          <w:rFonts w:ascii="Times New Roman" w:hAnsi="Times New Roman"/>
        </w:rPr>
        <w:t xml:space="preserve">non-traditional and vulnerable groups such as women, widows, youths and the </w:t>
      </w:r>
      <w:r w:rsidR="00FE7CA6">
        <w:rPr>
          <w:rFonts w:ascii="Times New Roman" w:hAnsi="Times New Roman"/>
        </w:rPr>
        <w:t>specially-</w:t>
      </w:r>
      <w:r w:rsidR="000458D8" w:rsidRPr="002C40DC">
        <w:rPr>
          <w:rFonts w:ascii="Times New Roman" w:hAnsi="Times New Roman"/>
        </w:rPr>
        <w:t xml:space="preserve">challenged.  </w:t>
      </w:r>
    </w:p>
    <w:p w:rsidR="004925DF" w:rsidRDefault="004925DF" w:rsidP="00ED3BAE">
      <w:pPr>
        <w:pStyle w:val="ListParagraph"/>
        <w:spacing w:line="240" w:lineRule="auto"/>
        <w:jc w:val="both"/>
        <w:rPr>
          <w:rFonts w:ascii="Times New Roman" w:hAnsi="Times New Roman"/>
        </w:rPr>
      </w:pPr>
    </w:p>
    <w:p w:rsidR="004925DF" w:rsidRDefault="00AB161F" w:rsidP="00ED3BAE">
      <w:pPr>
        <w:pStyle w:val="ListParagraph"/>
        <w:numPr>
          <w:ilvl w:val="0"/>
          <w:numId w:val="16"/>
        </w:numPr>
        <w:spacing w:line="240" w:lineRule="auto"/>
        <w:jc w:val="both"/>
        <w:rPr>
          <w:rFonts w:ascii="Times New Roman" w:hAnsi="Times New Roman"/>
        </w:rPr>
      </w:pPr>
      <w:r w:rsidRPr="00AB161F">
        <w:rPr>
          <w:rFonts w:ascii="Times New Roman" w:hAnsi="Times New Roman"/>
          <w:b/>
          <w:i/>
        </w:rPr>
        <w:t xml:space="preserve">HIV/AIDS </w:t>
      </w:r>
      <w:r w:rsidR="00371465">
        <w:rPr>
          <w:rFonts w:ascii="Times New Roman" w:hAnsi="Times New Roman"/>
          <w:b/>
          <w:i/>
        </w:rPr>
        <w:t xml:space="preserve">and </w:t>
      </w:r>
      <w:r w:rsidR="00067294">
        <w:rPr>
          <w:rFonts w:ascii="Times New Roman" w:hAnsi="Times New Roman"/>
          <w:b/>
          <w:i/>
        </w:rPr>
        <w:t>Other Health Issues</w:t>
      </w:r>
      <w:r w:rsidR="00B116B9">
        <w:rPr>
          <w:rFonts w:ascii="Times New Roman" w:hAnsi="Times New Roman"/>
          <w:b/>
          <w:i/>
        </w:rPr>
        <w:t xml:space="preserve">.  </w:t>
      </w:r>
      <w:r w:rsidR="00D375AD">
        <w:rPr>
          <w:rFonts w:ascii="Times New Roman" w:hAnsi="Times New Roman"/>
        </w:rPr>
        <w:t>The Policy promotes the i</w:t>
      </w:r>
      <w:r w:rsidR="004925DF" w:rsidRPr="004925DF">
        <w:rPr>
          <w:rFonts w:ascii="Times New Roman" w:hAnsi="Times New Roman"/>
        </w:rPr>
        <w:t>nclu</w:t>
      </w:r>
      <w:r w:rsidR="00D375AD">
        <w:rPr>
          <w:rFonts w:ascii="Times New Roman" w:hAnsi="Times New Roman"/>
        </w:rPr>
        <w:t>sion of</w:t>
      </w:r>
      <w:r w:rsidR="004925DF" w:rsidRPr="004925DF">
        <w:rPr>
          <w:rFonts w:ascii="Times New Roman" w:hAnsi="Times New Roman"/>
        </w:rPr>
        <w:t xml:space="preserve"> information on HIV/AIDS and other human health issues, such as schistosomiasis, in </w:t>
      </w:r>
      <w:r w:rsidR="00D375AD">
        <w:rPr>
          <w:rFonts w:ascii="Times New Roman" w:hAnsi="Times New Roman"/>
        </w:rPr>
        <w:t>A</w:t>
      </w:r>
      <w:r w:rsidR="004925DF" w:rsidRPr="004925DF">
        <w:rPr>
          <w:rFonts w:ascii="Times New Roman" w:hAnsi="Times New Roman"/>
        </w:rPr>
        <w:t xml:space="preserve">EAS messages. </w:t>
      </w:r>
      <w:r w:rsidR="00B116B9">
        <w:rPr>
          <w:rFonts w:ascii="Times New Roman" w:hAnsi="Times New Roman"/>
        </w:rPr>
        <w:t xml:space="preserve"> </w:t>
      </w:r>
      <w:r w:rsidR="00D375AD">
        <w:rPr>
          <w:rFonts w:ascii="Times New Roman" w:hAnsi="Times New Roman"/>
        </w:rPr>
        <w:t>A</w:t>
      </w:r>
      <w:r w:rsidR="004925DF" w:rsidRPr="004925DF">
        <w:rPr>
          <w:rFonts w:ascii="Times New Roman" w:hAnsi="Times New Roman"/>
        </w:rPr>
        <w:t xml:space="preserve">EAS providers </w:t>
      </w:r>
      <w:r w:rsidR="00D375AD">
        <w:rPr>
          <w:rFonts w:ascii="Times New Roman" w:hAnsi="Times New Roman"/>
        </w:rPr>
        <w:t>will need to</w:t>
      </w:r>
      <w:r w:rsidR="004925DF" w:rsidRPr="004925DF">
        <w:rPr>
          <w:rFonts w:ascii="Times New Roman" w:hAnsi="Times New Roman"/>
        </w:rPr>
        <w:t xml:space="preserve"> acquire knowledge and understanding of such issues in order to protect themselves and to educate their </w:t>
      </w:r>
      <w:r w:rsidR="00D375AD">
        <w:rPr>
          <w:rFonts w:ascii="Times New Roman" w:hAnsi="Times New Roman"/>
        </w:rPr>
        <w:t>A</w:t>
      </w:r>
      <w:r w:rsidR="004925DF" w:rsidRPr="004925DF">
        <w:rPr>
          <w:rFonts w:ascii="Times New Roman" w:hAnsi="Times New Roman"/>
        </w:rPr>
        <w:t>EAS clients and communities.</w:t>
      </w:r>
    </w:p>
    <w:p w:rsidR="0012047F" w:rsidRDefault="0012047F" w:rsidP="00ED3BAE">
      <w:pPr>
        <w:pStyle w:val="ListParagraph"/>
        <w:spacing w:line="240" w:lineRule="auto"/>
        <w:jc w:val="both"/>
        <w:rPr>
          <w:rFonts w:ascii="Times New Roman" w:hAnsi="Times New Roman"/>
        </w:rPr>
      </w:pPr>
    </w:p>
    <w:p w:rsidR="00067294" w:rsidRDefault="00067294" w:rsidP="00ED3BAE">
      <w:pPr>
        <w:pStyle w:val="ListParagraph"/>
        <w:numPr>
          <w:ilvl w:val="0"/>
          <w:numId w:val="16"/>
        </w:numPr>
        <w:spacing w:line="240" w:lineRule="auto"/>
        <w:jc w:val="both"/>
        <w:rPr>
          <w:rFonts w:ascii="Times New Roman" w:hAnsi="Times New Roman"/>
        </w:rPr>
      </w:pPr>
      <w:r w:rsidRPr="00E6515D">
        <w:rPr>
          <w:rFonts w:ascii="Times New Roman" w:hAnsi="Times New Roman"/>
          <w:b/>
          <w:i/>
        </w:rPr>
        <w:t>Nutrition</w:t>
      </w:r>
      <w:r>
        <w:rPr>
          <w:rFonts w:ascii="Times New Roman" w:hAnsi="Times New Roman"/>
          <w:b/>
        </w:rPr>
        <w:t xml:space="preserve">.  </w:t>
      </w:r>
      <w:r w:rsidR="006A3456">
        <w:rPr>
          <w:rFonts w:ascii="Times New Roman" w:hAnsi="Times New Roman"/>
        </w:rPr>
        <w:t xml:space="preserve">An aspect of food security is food utilization. </w:t>
      </w:r>
      <w:r w:rsidR="00B116B9">
        <w:rPr>
          <w:rFonts w:ascii="Times New Roman" w:hAnsi="Times New Roman"/>
        </w:rPr>
        <w:t xml:space="preserve"> </w:t>
      </w:r>
      <w:r w:rsidR="006A3456">
        <w:rPr>
          <w:rFonts w:ascii="Times New Roman" w:hAnsi="Times New Roman"/>
        </w:rPr>
        <w:t xml:space="preserve">Food utilization is linked to nutrition.  AEAS </w:t>
      </w:r>
      <w:r w:rsidR="00FE7CA6">
        <w:rPr>
          <w:rFonts w:ascii="Times New Roman" w:hAnsi="Times New Roman"/>
        </w:rPr>
        <w:t xml:space="preserve">providers are encouraged to </w:t>
      </w:r>
      <w:r w:rsidR="006A3456">
        <w:rPr>
          <w:rFonts w:ascii="Times New Roman" w:hAnsi="Times New Roman"/>
        </w:rPr>
        <w:t>facilitat</w:t>
      </w:r>
      <w:r w:rsidR="00FE7CA6">
        <w:rPr>
          <w:rFonts w:ascii="Times New Roman" w:hAnsi="Times New Roman"/>
        </w:rPr>
        <w:t>e</w:t>
      </w:r>
      <w:r w:rsidR="006A3456">
        <w:rPr>
          <w:rFonts w:ascii="Times New Roman" w:hAnsi="Times New Roman"/>
        </w:rPr>
        <w:t xml:space="preserve"> good nutrition behaviors by incorporating nutrition messages in </w:t>
      </w:r>
      <w:r w:rsidR="00FE7CA6">
        <w:rPr>
          <w:rFonts w:ascii="Times New Roman" w:hAnsi="Times New Roman"/>
        </w:rPr>
        <w:t xml:space="preserve">their </w:t>
      </w:r>
      <w:r w:rsidR="006A3456">
        <w:rPr>
          <w:rFonts w:ascii="Times New Roman" w:hAnsi="Times New Roman"/>
        </w:rPr>
        <w:t>interactions with farm men, women, and youth.</w:t>
      </w:r>
    </w:p>
    <w:p w:rsidR="002C40DC" w:rsidRDefault="002C40DC" w:rsidP="00ED3BAE">
      <w:pPr>
        <w:pStyle w:val="ListParagraph"/>
        <w:spacing w:line="240" w:lineRule="auto"/>
        <w:jc w:val="both"/>
        <w:rPr>
          <w:rFonts w:ascii="Times New Roman" w:hAnsi="Times New Roman"/>
        </w:rPr>
      </w:pPr>
    </w:p>
    <w:p w:rsidR="002C40DC" w:rsidRDefault="00AB161F" w:rsidP="00ED3BAE">
      <w:pPr>
        <w:pStyle w:val="ListParagraph"/>
        <w:numPr>
          <w:ilvl w:val="0"/>
          <w:numId w:val="16"/>
        </w:numPr>
        <w:spacing w:after="0" w:line="240" w:lineRule="auto"/>
        <w:jc w:val="both"/>
        <w:rPr>
          <w:rFonts w:ascii="Times New Roman" w:hAnsi="Times New Roman"/>
        </w:rPr>
      </w:pPr>
      <w:r w:rsidRPr="00AB161F">
        <w:rPr>
          <w:rFonts w:ascii="Times New Roman" w:hAnsi="Times New Roman"/>
          <w:b/>
          <w:i/>
        </w:rPr>
        <w:t>Sustainable Natural Resource Management (SNRM) and Climate Change</w:t>
      </w:r>
      <w:r w:rsidR="00D375AD">
        <w:rPr>
          <w:rFonts w:ascii="Times New Roman" w:hAnsi="Times New Roman"/>
          <w:b/>
        </w:rPr>
        <w:t>.</w:t>
      </w:r>
      <w:r w:rsidR="00B116B9">
        <w:rPr>
          <w:rFonts w:ascii="Times New Roman" w:hAnsi="Times New Roman"/>
          <w:b/>
        </w:rPr>
        <w:t xml:space="preserve">  </w:t>
      </w:r>
      <w:r w:rsidR="002C40DC">
        <w:rPr>
          <w:rFonts w:ascii="Times New Roman" w:hAnsi="Times New Roman"/>
        </w:rPr>
        <w:t xml:space="preserve">The Policy promotes </w:t>
      </w:r>
      <w:r w:rsidR="00D375AD">
        <w:rPr>
          <w:rFonts w:ascii="Times New Roman" w:hAnsi="Times New Roman"/>
        </w:rPr>
        <w:t xml:space="preserve">activities, projects, and </w:t>
      </w:r>
      <w:r w:rsidR="002C40DC">
        <w:rPr>
          <w:rFonts w:ascii="Times New Roman" w:hAnsi="Times New Roman"/>
        </w:rPr>
        <w:t xml:space="preserve">programs that </w:t>
      </w:r>
      <w:r w:rsidR="001A4B53">
        <w:rPr>
          <w:rFonts w:ascii="Times New Roman" w:hAnsi="Times New Roman"/>
        </w:rPr>
        <w:t xml:space="preserve">create awareness of SNRM and that </w:t>
      </w:r>
      <w:r w:rsidR="002C40DC">
        <w:rPr>
          <w:rFonts w:ascii="Times New Roman" w:hAnsi="Times New Roman"/>
        </w:rPr>
        <w:t>teach SNRM</w:t>
      </w:r>
      <w:r w:rsidR="00D375AD">
        <w:rPr>
          <w:rFonts w:ascii="Times New Roman" w:hAnsi="Times New Roman"/>
        </w:rPr>
        <w:t xml:space="preserve"> practices </w:t>
      </w:r>
      <w:r w:rsidR="00EB58AB" w:rsidRPr="001A4B53">
        <w:rPr>
          <w:rFonts w:ascii="Times New Roman" w:hAnsi="Times New Roman"/>
        </w:rPr>
        <w:t>such as</w:t>
      </w:r>
      <w:r w:rsidR="001A4B53" w:rsidRPr="001A4B53">
        <w:rPr>
          <w:rFonts w:ascii="Times New Roman" w:hAnsi="Times New Roman"/>
        </w:rPr>
        <w:t xml:space="preserve"> </w:t>
      </w:r>
      <w:r w:rsidR="00EB58AB" w:rsidRPr="001A4B53">
        <w:rPr>
          <w:rStyle w:val="apple-style-span"/>
          <w:rFonts w:ascii="Times New Roman" w:hAnsi="Times New Roman"/>
        </w:rPr>
        <w:t>promoting renewable use and environment-friendly activities; preserving, protecting and developing natural resource bases; strengthening the capabilities of AEAS providers and clients to manage environmental concerns</w:t>
      </w:r>
      <w:r w:rsidR="001A4B53" w:rsidRPr="001A4B53">
        <w:rPr>
          <w:rStyle w:val="apple-style-span"/>
          <w:rFonts w:ascii="Times New Roman" w:hAnsi="Times New Roman"/>
        </w:rPr>
        <w:t>.</w:t>
      </w:r>
      <w:r w:rsidR="00EB58AB">
        <w:rPr>
          <w:rStyle w:val="apple-style-span"/>
          <w:rFonts w:ascii="Times New Roman" w:hAnsi="Times New Roman"/>
          <w:color w:val="FF0000"/>
        </w:rPr>
        <w:t xml:space="preserve"> </w:t>
      </w:r>
      <w:r w:rsidR="00B116B9">
        <w:rPr>
          <w:rStyle w:val="apple-style-span"/>
          <w:rFonts w:ascii="Times New Roman" w:hAnsi="Times New Roman"/>
          <w:color w:val="FF0000"/>
        </w:rPr>
        <w:t xml:space="preserve"> </w:t>
      </w:r>
      <w:r w:rsidR="00EB58AB">
        <w:rPr>
          <w:rFonts w:ascii="Times New Roman" w:hAnsi="Times New Roman"/>
        </w:rPr>
        <w:t>The Policy supports preparing</w:t>
      </w:r>
      <w:r w:rsidR="00D375AD">
        <w:rPr>
          <w:rFonts w:ascii="Times New Roman" w:hAnsi="Times New Roman"/>
        </w:rPr>
        <w:t xml:space="preserve"> AEAS clients with knowledge and skills to mitigate against the adverse affects of climate change</w:t>
      </w:r>
      <w:r w:rsidR="002C40DC">
        <w:rPr>
          <w:rFonts w:ascii="Times New Roman" w:hAnsi="Times New Roman"/>
        </w:rPr>
        <w:t xml:space="preserve"> </w:t>
      </w:r>
      <w:r w:rsidR="002C40DC" w:rsidRPr="002C40DC">
        <w:rPr>
          <w:rFonts w:ascii="Times New Roman" w:hAnsi="Times New Roman"/>
        </w:rPr>
        <w:t>as the basic requisite for sustainable agricultural development.</w:t>
      </w:r>
    </w:p>
    <w:p w:rsidR="00B266DF" w:rsidRPr="002C40DC" w:rsidRDefault="00B266DF" w:rsidP="00ED3BAE">
      <w:pPr>
        <w:pStyle w:val="ListParagraph"/>
        <w:spacing w:after="0" w:line="240" w:lineRule="auto"/>
        <w:jc w:val="both"/>
        <w:rPr>
          <w:rFonts w:ascii="Times New Roman" w:hAnsi="Times New Roman"/>
        </w:rPr>
      </w:pPr>
    </w:p>
    <w:p w:rsidR="00572242" w:rsidRPr="00F046EE" w:rsidRDefault="00F046EE" w:rsidP="00ED3BAE">
      <w:pPr>
        <w:pStyle w:val="ListParagraph"/>
        <w:spacing w:after="0" w:line="240" w:lineRule="auto"/>
        <w:ind w:left="0"/>
        <w:jc w:val="both"/>
        <w:rPr>
          <w:rFonts w:ascii="Times New Roman" w:hAnsi="Times New Roman"/>
          <w:b/>
        </w:rPr>
      </w:pPr>
      <w:r w:rsidRPr="00F046EE">
        <w:rPr>
          <w:rFonts w:ascii="Times New Roman" w:hAnsi="Times New Roman"/>
          <w:b/>
        </w:rPr>
        <w:t>3.2</w:t>
      </w:r>
      <w:r w:rsidRPr="00F046EE">
        <w:rPr>
          <w:rFonts w:ascii="Times New Roman" w:hAnsi="Times New Roman"/>
          <w:b/>
        </w:rPr>
        <w:tab/>
      </w:r>
      <w:r w:rsidR="00CB23E6">
        <w:rPr>
          <w:rFonts w:ascii="Times New Roman" w:hAnsi="Times New Roman"/>
          <w:b/>
        </w:rPr>
        <w:t xml:space="preserve">AEAS Client </w:t>
      </w:r>
      <w:r w:rsidRPr="00F046EE">
        <w:rPr>
          <w:rFonts w:ascii="Times New Roman" w:hAnsi="Times New Roman"/>
          <w:b/>
        </w:rPr>
        <w:t>Stakeholders</w:t>
      </w:r>
      <w:r w:rsidR="00CB23E6">
        <w:rPr>
          <w:rFonts w:ascii="Times New Roman" w:hAnsi="Times New Roman"/>
          <w:b/>
        </w:rPr>
        <w:t xml:space="preserve"> </w:t>
      </w:r>
      <w:r w:rsidR="00420AA8">
        <w:rPr>
          <w:rFonts w:ascii="Times New Roman" w:hAnsi="Times New Roman"/>
          <w:b/>
        </w:rPr>
        <w:t>and Geographic Coverage</w:t>
      </w:r>
    </w:p>
    <w:p w:rsidR="00B04FFC" w:rsidRDefault="00B04FFC" w:rsidP="00ED3BAE">
      <w:pPr>
        <w:pStyle w:val="ListParagraph"/>
        <w:spacing w:after="0" w:line="240" w:lineRule="auto"/>
        <w:ind w:left="0"/>
        <w:jc w:val="both"/>
        <w:rPr>
          <w:rFonts w:ascii="Times New Roman" w:hAnsi="Times New Roman"/>
        </w:rPr>
      </w:pPr>
    </w:p>
    <w:p w:rsidR="00CB690C" w:rsidRPr="00CB690C" w:rsidRDefault="00F046EE" w:rsidP="00ED3BAE">
      <w:pPr>
        <w:pStyle w:val="ListParagraph"/>
        <w:spacing w:after="0" w:line="240" w:lineRule="auto"/>
        <w:ind w:left="0"/>
        <w:jc w:val="both"/>
        <w:rPr>
          <w:rFonts w:ascii="Times New Roman" w:hAnsi="Times New Roman"/>
        </w:rPr>
      </w:pPr>
      <w:r>
        <w:rPr>
          <w:rFonts w:ascii="Times New Roman" w:hAnsi="Times New Roman"/>
        </w:rPr>
        <w:t xml:space="preserve">Transformed </w:t>
      </w:r>
      <w:r w:rsidR="000A1EFD">
        <w:rPr>
          <w:rFonts w:ascii="Times New Roman" w:hAnsi="Times New Roman"/>
        </w:rPr>
        <w:t>A</w:t>
      </w:r>
      <w:r>
        <w:rPr>
          <w:rFonts w:ascii="Times New Roman" w:hAnsi="Times New Roman"/>
        </w:rPr>
        <w:t xml:space="preserve">EAS will focus on diverse categories of </w:t>
      </w:r>
      <w:r w:rsidR="00CB23E6">
        <w:rPr>
          <w:rFonts w:ascii="Times New Roman" w:hAnsi="Times New Roman"/>
        </w:rPr>
        <w:t xml:space="preserve">client </w:t>
      </w:r>
      <w:r>
        <w:rPr>
          <w:rFonts w:ascii="Times New Roman" w:hAnsi="Times New Roman"/>
        </w:rPr>
        <w:t>stakeholders</w:t>
      </w:r>
      <w:r w:rsidR="00CB23E6">
        <w:rPr>
          <w:rFonts w:ascii="Times New Roman" w:hAnsi="Times New Roman"/>
        </w:rPr>
        <w:t xml:space="preserve"> </w:t>
      </w:r>
      <w:r w:rsidR="000A1EFD">
        <w:rPr>
          <w:rFonts w:ascii="Times New Roman" w:hAnsi="Times New Roman"/>
        </w:rPr>
        <w:t>across the country</w:t>
      </w:r>
      <w:r>
        <w:rPr>
          <w:rFonts w:ascii="Times New Roman" w:hAnsi="Times New Roman"/>
        </w:rPr>
        <w:t>, including women and men fa</w:t>
      </w:r>
      <w:r w:rsidR="00CD68C9">
        <w:rPr>
          <w:rFonts w:ascii="Times New Roman" w:hAnsi="Times New Roman"/>
        </w:rPr>
        <w:t>r</w:t>
      </w:r>
      <w:r>
        <w:rPr>
          <w:rFonts w:ascii="Times New Roman" w:hAnsi="Times New Roman"/>
        </w:rPr>
        <w:t xml:space="preserve">mers as well as widows, youth, and specially-challenged groups </w:t>
      </w:r>
      <w:r w:rsidR="00E02973">
        <w:rPr>
          <w:rFonts w:ascii="Times New Roman" w:hAnsi="Times New Roman"/>
        </w:rPr>
        <w:t xml:space="preserve">and organizations </w:t>
      </w:r>
      <w:r>
        <w:rPr>
          <w:rFonts w:ascii="Times New Roman" w:hAnsi="Times New Roman"/>
        </w:rPr>
        <w:t>engaged in agriculture activities</w:t>
      </w:r>
      <w:r w:rsidR="000A1EFD" w:rsidRPr="00CB690C">
        <w:rPr>
          <w:rFonts w:ascii="Times New Roman" w:hAnsi="Times New Roman"/>
        </w:rPr>
        <w:t>.</w:t>
      </w:r>
      <w:r w:rsidR="00420AA8" w:rsidRPr="00CB690C">
        <w:rPr>
          <w:rFonts w:ascii="Times New Roman" w:hAnsi="Times New Roman"/>
        </w:rPr>
        <w:t xml:space="preserve">  </w:t>
      </w:r>
      <w:r w:rsidR="00CB23E6" w:rsidRPr="00CB690C">
        <w:rPr>
          <w:rFonts w:ascii="Times New Roman" w:hAnsi="Times New Roman"/>
        </w:rPr>
        <w:t>As used in this document, the term ‘client stakeholders’ refers to those who receive AEAS services</w:t>
      </w:r>
      <w:r w:rsidR="00CB690C" w:rsidRPr="00CB690C">
        <w:rPr>
          <w:rFonts w:ascii="Times New Roman" w:hAnsi="Times New Roman"/>
        </w:rPr>
        <w:t xml:space="preserve">, </w:t>
      </w:r>
      <w:r w:rsidR="00CB23E6" w:rsidRPr="00CB690C">
        <w:rPr>
          <w:rFonts w:ascii="Times New Roman" w:hAnsi="Times New Roman"/>
        </w:rPr>
        <w:t xml:space="preserve">those who are clients of AEAS providers.  The term ‘client stakeholder’ and stakeholder are used interchangeably.   </w:t>
      </w:r>
    </w:p>
    <w:p w:rsidR="00CB690C" w:rsidRPr="00CB690C" w:rsidRDefault="00CB690C" w:rsidP="00ED3BAE">
      <w:pPr>
        <w:pStyle w:val="ListParagraph"/>
        <w:spacing w:after="0" w:line="240" w:lineRule="auto"/>
        <w:ind w:left="0"/>
        <w:jc w:val="both"/>
        <w:rPr>
          <w:rFonts w:ascii="Times New Roman" w:hAnsi="Times New Roman"/>
        </w:rPr>
      </w:pPr>
    </w:p>
    <w:p w:rsidR="00F046EE" w:rsidRDefault="00F046EE" w:rsidP="00ED3BAE">
      <w:pPr>
        <w:pStyle w:val="ListParagraph"/>
        <w:spacing w:after="0" w:line="240" w:lineRule="auto"/>
        <w:ind w:left="0"/>
        <w:jc w:val="both"/>
        <w:rPr>
          <w:rFonts w:ascii="Times New Roman" w:hAnsi="Times New Roman"/>
        </w:rPr>
      </w:pPr>
      <w:r w:rsidRPr="00CB690C">
        <w:rPr>
          <w:rFonts w:ascii="Times New Roman" w:hAnsi="Times New Roman"/>
        </w:rPr>
        <w:t xml:space="preserve">The policy supports opening </w:t>
      </w:r>
      <w:r w:rsidR="000A1EFD" w:rsidRPr="00CB690C">
        <w:rPr>
          <w:rFonts w:ascii="Times New Roman" w:hAnsi="Times New Roman"/>
        </w:rPr>
        <w:t>A</w:t>
      </w:r>
      <w:r w:rsidRPr="00CB690C">
        <w:rPr>
          <w:rFonts w:ascii="Times New Roman" w:hAnsi="Times New Roman"/>
        </w:rPr>
        <w:t>EAS to</w:t>
      </w:r>
      <w:r>
        <w:rPr>
          <w:rFonts w:ascii="Times New Roman" w:hAnsi="Times New Roman"/>
        </w:rPr>
        <w:t xml:space="preserve"> all agriculture sector stakeholders</w:t>
      </w:r>
      <w:r w:rsidR="00420AA8">
        <w:rPr>
          <w:rFonts w:ascii="Times New Roman" w:hAnsi="Times New Roman"/>
        </w:rPr>
        <w:t xml:space="preserve"> across the country</w:t>
      </w:r>
      <w:r>
        <w:rPr>
          <w:rFonts w:ascii="Times New Roman" w:hAnsi="Times New Roman"/>
        </w:rPr>
        <w:t xml:space="preserve">, while focusing on </w:t>
      </w:r>
      <w:r w:rsidR="00CB690C">
        <w:rPr>
          <w:rFonts w:ascii="Times New Roman" w:hAnsi="Times New Roman"/>
        </w:rPr>
        <w:t xml:space="preserve">its </w:t>
      </w:r>
      <w:r>
        <w:rPr>
          <w:rFonts w:ascii="Times New Roman" w:hAnsi="Times New Roman"/>
        </w:rPr>
        <w:t xml:space="preserve">primary clients:  smallholder producers, most particularly women and youth, and their organizations.  </w:t>
      </w:r>
      <w:r w:rsidR="0012047F">
        <w:rPr>
          <w:rFonts w:ascii="Times New Roman" w:hAnsi="Times New Roman"/>
        </w:rPr>
        <w:t xml:space="preserve">In this context, </w:t>
      </w:r>
      <w:r w:rsidR="00FE7CA6">
        <w:rPr>
          <w:rFonts w:ascii="Times New Roman" w:hAnsi="Times New Roman"/>
        </w:rPr>
        <w:t xml:space="preserve">AEAS stakeholders are not only producers, but also input supply dealers, </w:t>
      </w:r>
      <w:r w:rsidR="0012047F">
        <w:rPr>
          <w:rFonts w:ascii="Times New Roman" w:hAnsi="Times New Roman"/>
        </w:rPr>
        <w:t>consolidators, and processors as well as buyers and others</w:t>
      </w:r>
      <w:r w:rsidR="00FE7CA6">
        <w:rPr>
          <w:rFonts w:ascii="Times New Roman" w:hAnsi="Times New Roman"/>
        </w:rPr>
        <w:t xml:space="preserve"> involved in marketing</w:t>
      </w:r>
      <w:r w:rsidR="008F6A9E">
        <w:rPr>
          <w:rFonts w:ascii="Times New Roman" w:hAnsi="Times New Roman"/>
        </w:rPr>
        <w:t xml:space="preserve"> who </w:t>
      </w:r>
      <w:r w:rsidR="00CB690C">
        <w:rPr>
          <w:rFonts w:ascii="Times New Roman" w:hAnsi="Times New Roman"/>
        </w:rPr>
        <w:t>would benefit from receiving</w:t>
      </w:r>
      <w:r w:rsidR="008F6A9E">
        <w:rPr>
          <w:rFonts w:ascii="Times New Roman" w:hAnsi="Times New Roman"/>
        </w:rPr>
        <w:t xml:space="preserve"> AEAS services</w:t>
      </w:r>
      <w:r w:rsidR="00CB690C">
        <w:rPr>
          <w:rFonts w:ascii="Times New Roman" w:hAnsi="Times New Roman"/>
        </w:rPr>
        <w:t>.</w:t>
      </w:r>
    </w:p>
    <w:p w:rsidR="00F046EE" w:rsidRDefault="00F046EE" w:rsidP="00ED3BAE">
      <w:pPr>
        <w:pStyle w:val="ListParagraph"/>
        <w:spacing w:after="0" w:line="240" w:lineRule="auto"/>
        <w:ind w:left="0"/>
        <w:jc w:val="both"/>
        <w:rPr>
          <w:rFonts w:ascii="Times New Roman" w:hAnsi="Times New Roman"/>
        </w:rPr>
      </w:pPr>
    </w:p>
    <w:p w:rsidR="00AD4B8F" w:rsidRDefault="00F046EE" w:rsidP="00ED3BAE">
      <w:pPr>
        <w:pStyle w:val="ListParagraph"/>
        <w:spacing w:after="0" w:line="240" w:lineRule="auto"/>
        <w:ind w:left="0"/>
        <w:jc w:val="both"/>
        <w:rPr>
          <w:rFonts w:ascii="Times New Roman" w:hAnsi="Times New Roman"/>
          <w:lang w:val="en-GB"/>
        </w:rPr>
      </w:pPr>
      <w:r>
        <w:rPr>
          <w:rFonts w:ascii="Times New Roman" w:hAnsi="Times New Roman"/>
        </w:rPr>
        <w:t xml:space="preserve">To </w:t>
      </w:r>
      <w:r w:rsidR="00E02973">
        <w:rPr>
          <w:rFonts w:ascii="Times New Roman" w:hAnsi="Times New Roman"/>
        </w:rPr>
        <w:t xml:space="preserve">build social capital of </w:t>
      </w:r>
      <w:r w:rsidR="000A1EFD">
        <w:rPr>
          <w:rFonts w:ascii="Times New Roman" w:hAnsi="Times New Roman"/>
        </w:rPr>
        <w:t>A</w:t>
      </w:r>
      <w:r w:rsidR="00E02973">
        <w:rPr>
          <w:rFonts w:ascii="Times New Roman" w:hAnsi="Times New Roman"/>
        </w:rPr>
        <w:t xml:space="preserve">EAS stakeholders and to address issues of </w:t>
      </w:r>
      <w:r w:rsidR="000A1EFD">
        <w:rPr>
          <w:rFonts w:ascii="Times New Roman" w:hAnsi="Times New Roman"/>
        </w:rPr>
        <w:t>A</w:t>
      </w:r>
      <w:r w:rsidR="00E02973">
        <w:rPr>
          <w:rFonts w:ascii="Times New Roman" w:hAnsi="Times New Roman"/>
        </w:rPr>
        <w:t xml:space="preserve">EAS coverage (i.e., </w:t>
      </w:r>
      <w:r>
        <w:rPr>
          <w:rFonts w:ascii="Times New Roman" w:hAnsi="Times New Roman"/>
        </w:rPr>
        <w:t xml:space="preserve">the capacity of </w:t>
      </w:r>
      <w:r w:rsidR="000A1EFD">
        <w:rPr>
          <w:rFonts w:ascii="Times New Roman" w:hAnsi="Times New Roman"/>
        </w:rPr>
        <w:t>A</w:t>
      </w:r>
      <w:r>
        <w:rPr>
          <w:rFonts w:ascii="Times New Roman" w:hAnsi="Times New Roman"/>
        </w:rPr>
        <w:t>EAS providers to reach all those</w:t>
      </w:r>
      <w:r w:rsidR="00420AA8">
        <w:rPr>
          <w:rFonts w:ascii="Times New Roman" w:hAnsi="Times New Roman"/>
        </w:rPr>
        <w:t xml:space="preserve"> across the country</w:t>
      </w:r>
      <w:r>
        <w:rPr>
          <w:rFonts w:ascii="Times New Roman" w:hAnsi="Times New Roman"/>
        </w:rPr>
        <w:t xml:space="preserve"> who could benefit from </w:t>
      </w:r>
      <w:r w:rsidR="000A1EFD">
        <w:rPr>
          <w:rFonts w:ascii="Times New Roman" w:hAnsi="Times New Roman"/>
        </w:rPr>
        <w:t>A</w:t>
      </w:r>
      <w:r w:rsidR="00E02973">
        <w:rPr>
          <w:rFonts w:ascii="Times New Roman" w:hAnsi="Times New Roman"/>
        </w:rPr>
        <w:t>EAS),</w:t>
      </w:r>
      <w:r>
        <w:rPr>
          <w:rFonts w:ascii="Times New Roman" w:hAnsi="Times New Roman"/>
        </w:rPr>
        <w:t xml:space="preserve"> the </w:t>
      </w:r>
      <w:r w:rsidR="00A666AD">
        <w:rPr>
          <w:rFonts w:ascii="Times New Roman" w:hAnsi="Times New Roman"/>
        </w:rPr>
        <w:t>P</w:t>
      </w:r>
      <w:r>
        <w:rPr>
          <w:rFonts w:ascii="Times New Roman" w:hAnsi="Times New Roman"/>
        </w:rPr>
        <w:t xml:space="preserve">olicy emphasizes </w:t>
      </w:r>
      <w:r w:rsidR="00E02973">
        <w:rPr>
          <w:rFonts w:ascii="Times New Roman" w:hAnsi="Times New Roman"/>
        </w:rPr>
        <w:t xml:space="preserve">working with </w:t>
      </w:r>
      <w:r w:rsidR="008A7332">
        <w:rPr>
          <w:rFonts w:ascii="Times New Roman" w:hAnsi="Times New Roman"/>
        </w:rPr>
        <w:t xml:space="preserve">existing farmer groups, associations, </w:t>
      </w:r>
      <w:r w:rsidR="0087387A">
        <w:rPr>
          <w:rFonts w:ascii="Times New Roman" w:hAnsi="Times New Roman"/>
        </w:rPr>
        <w:t>cooperatives</w:t>
      </w:r>
      <w:r w:rsidR="00CB23E6">
        <w:rPr>
          <w:rFonts w:ascii="Times New Roman" w:hAnsi="Times New Roman"/>
        </w:rPr>
        <w:t xml:space="preserve"> (such as those organized by </w:t>
      </w:r>
      <w:r w:rsidR="00C908F4">
        <w:rPr>
          <w:rFonts w:ascii="Times New Roman" w:hAnsi="Times New Roman"/>
        </w:rPr>
        <w:t>t</w:t>
      </w:r>
      <w:r w:rsidR="00CB23E6">
        <w:rPr>
          <w:rFonts w:ascii="Times New Roman" w:hAnsi="Times New Roman"/>
        </w:rPr>
        <w:t>he Cooperative Development A</w:t>
      </w:r>
      <w:r w:rsidR="00C908F4">
        <w:rPr>
          <w:rFonts w:ascii="Times New Roman" w:hAnsi="Times New Roman"/>
        </w:rPr>
        <w:t>genc</w:t>
      </w:r>
      <w:r w:rsidR="00C47B55">
        <w:rPr>
          <w:rFonts w:ascii="Times New Roman" w:hAnsi="Times New Roman"/>
        </w:rPr>
        <w:t>y)</w:t>
      </w:r>
      <w:r w:rsidR="0087387A">
        <w:rPr>
          <w:rFonts w:ascii="Times New Roman" w:hAnsi="Times New Roman"/>
        </w:rPr>
        <w:t xml:space="preserve">, </w:t>
      </w:r>
      <w:r w:rsidR="008A7332">
        <w:rPr>
          <w:rFonts w:ascii="Times New Roman" w:hAnsi="Times New Roman"/>
        </w:rPr>
        <w:t>and other apex organizations</w:t>
      </w:r>
      <w:r w:rsidR="00BC4CA6">
        <w:rPr>
          <w:rFonts w:ascii="Times New Roman" w:hAnsi="Times New Roman"/>
        </w:rPr>
        <w:t xml:space="preserve"> and/or reinvigorating groups whose effectiveness has declined.</w:t>
      </w:r>
      <w:r w:rsidR="00E02973">
        <w:rPr>
          <w:rFonts w:ascii="Times New Roman" w:hAnsi="Times New Roman"/>
        </w:rPr>
        <w:t xml:space="preserve">  </w:t>
      </w:r>
      <w:r w:rsidR="008A7332">
        <w:rPr>
          <w:rFonts w:ascii="Times New Roman" w:hAnsi="Times New Roman"/>
        </w:rPr>
        <w:t xml:space="preserve">Where these </w:t>
      </w:r>
      <w:r w:rsidR="00A666AD">
        <w:rPr>
          <w:rFonts w:ascii="Times New Roman" w:hAnsi="Times New Roman"/>
        </w:rPr>
        <w:t xml:space="preserve">entities </w:t>
      </w:r>
      <w:r w:rsidR="008A7332">
        <w:rPr>
          <w:rFonts w:ascii="Times New Roman" w:hAnsi="Times New Roman"/>
        </w:rPr>
        <w:t xml:space="preserve">do not exist, the </w:t>
      </w:r>
      <w:r w:rsidR="00A666AD">
        <w:rPr>
          <w:rFonts w:ascii="Times New Roman" w:hAnsi="Times New Roman"/>
        </w:rPr>
        <w:t>P</w:t>
      </w:r>
      <w:r w:rsidR="008A7332">
        <w:rPr>
          <w:rFonts w:ascii="Times New Roman" w:hAnsi="Times New Roman"/>
        </w:rPr>
        <w:t xml:space="preserve">olicy promotes </w:t>
      </w:r>
      <w:r>
        <w:rPr>
          <w:rFonts w:ascii="Times New Roman" w:hAnsi="Times New Roman"/>
        </w:rPr>
        <w:t>the sustai</w:t>
      </w:r>
      <w:r w:rsidR="00E02973">
        <w:rPr>
          <w:rFonts w:ascii="Times New Roman" w:hAnsi="Times New Roman"/>
        </w:rPr>
        <w:t xml:space="preserve">nable formation, </w:t>
      </w:r>
      <w:r>
        <w:rPr>
          <w:rFonts w:ascii="Times New Roman" w:hAnsi="Times New Roman"/>
        </w:rPr>
        <w:t>development</w:t>
      </w:r>
      <w:r w:rsidR="00E02973">
        <w:rPr>
          <w:rFonts w:ascii="Times New Roman" w:hAnsi="Times New Roman"/>
        </w:rPr>
        <w:t>, and strengthening</w:t>
      </w:r>
      <w:r>
        <w:rPr>
          <w:rFonts w:ascii="Times New Roman" w:hAnsi="Times New Roman"/>
        </w:rPr>
        <w:t xml:space="preserve"> of farmer groups, associations, and other apex organizations.  These may be producer, processor, marketing, input supply groups or any combinations deemed appropriate by group members.  </w:t>
      </w:r>
      <w:r w:rsidR="00BC4CA6">
        <w:rPr>
          <w:rFonts w:ascii="Times New Roman" w:hAnsi="Times New Roman"/>
        </w:rPr>
        <w:t>Organized groups are open to interacting with any AEAS provider, even if that provider did not provide initial group development and support.  G</w:t>
      </w:r>
      <w:r w:rsidR="00E02973">
        <w:rPr>
          <w:rFonts w:ascii="Times New Roman" w:hAnsi="Times New Roman"/>
        </w:rPr>
        <w:t xml:space="preserve">roups and organizations </w:t>
      </w:r>
      <w:r w:rsidR="005D52FA" w:rsidRPr="003556E4">
        <w:rPr>
          <w:rFonts w:ascii="Times New Roman" w:hAnsi="Times New Roman"/>
          <w:lang w:val="en-GB"/>
        </w:rPr>
        <w:t>can provide effective channels for both</w:t>
      </w:r>
      <w:r w:rsidR="00E02973">
        <w:rPr>
          <w:rFonts w:ascii="Times New Roman" w:hAnsi="Times New Roman"/>
          <w:lang w:val="en-GB"/>
        </w:rPr>
        <w:t xml:space="preserve"> the dissemination of improved technologies and practices</w:t>
      </w:r>
      <w:r w:rsidR="005D52FA" w:rsidRPr="003556E4">
        <w:rPr>
          <w:rFonts w:ascii="Times New Roman" w:hAnsi="Times New Roman"/>
          <w:lang w:val="en-GB"/>
        </w:rPr>
        <w:t xml:space="preserve"> to large number</w:t>
      </w:r>
      <w:r w:rsidR="00E02973">
        <w:rPr>
          <w:rFonts w:ascii="Times New Roman" w:hAnsi="Times New Roman"/>
          <w:lang w:val="en-GB"/>
        </w:rPr>
        <w:t>s</w:t>
      </w:r>
      <w:r w:rsidR="005D52FA" w:rsidRPr="003556E4">
        <w:rPr>
          <w:rFonts w:ascii="Times New Roman" w:hAnsi="Times New Roman"/>
          <w:lang w:val="en-GB"/>
        </w:rPr>
        <w:t xml:space="preserve"> of small and marginal farmers and </w:t>
      </w:r>
      <w:r w:rsidR="00C847C0">
        <w:rPr>
          <w:rFonts w:ascii="Times New Roman" w:hAnsi="Times New Roman"/>
          <w:lang w:val="en-GB"/>
        </w:rPr>
        <w:t>for channell</w:t>
      </w:r>
      <w:r w:rsidR="00E02973">
        <w:rPr>
          <w:rFonts w:ascii="Times New Roman" w:hAnsi="Times New Roman"/>
          <w:lang w:val="en-GB"/>
        </w:rPr>
        <w:t xml:space="preserve">ing </w:t>
      </w:r>
      <w:r w:rsidR="005D52FA" w:rsidRPr="003556E4">
        <w:rPr>
          <w:rFonts w:ascii="Times New Roman" w:hAnsi="Times New Roman"/>
          <w:lang w:val="en-GB"/>
        </w:rPr>
        <w:t xml:space="preserve">feedback to </w:t>
      </w:r>
      <w:r w:rsidR="0012047F">
        <w:rPr>
          <w:rFonts w:ascii="Times New Roman" w:hAnsi="Times New Roman"/>
          <w:lang w:val="en-GB"/>
        </w:rPr>
        <w:t xml:space="preserve">extension and </w:t>
      </w:r>
      <w:r w:rsidR="005D52FA" w:rsidRPr="003556E4">
        <w:rPr>
          <w:rFonts w:ascii="Times New Roman" w:hAnsi="Times New Roman"/>
          <w:lang w:val="en-GB"/>
        </w:rPr>
        <w:t xml:space="preserve">research. </w:t>
      </w:r>
      <w:r w:rsidR="00B116B9">
        <w:rPr>
          <w:rFonts w:ascii="Times New Roman" w:hAnsi="Times New Roman"/>
          <w:lang w:val="en-GB"/>
        </w:rPr>
        <w:t xml:space="preserve"> </w:t>
      </w:r>
      <w:r w:rsidR="00B51712" w:rsidRPr="003556E4">
        <w:rPr>
          <w:rFonts w:ascii="Times New Roman" w:hAnsi="Times New Roman"/>
        </w:rPr>
        <w:t>They</w:t>
      </w:r>
      <w:r w:rsidR="00AD4B8F" w:rsidRPr="003556E4">
        <w:rPr>
          <w:rFonts w:ascii="Times New Roman" w:hAnsi="Times New Roman"/>
        </w:rPr>
        <w:t xml:space="preserve"> </w:t>
      </w:r>
      <w:r w:rsidR="00B51712" w:rsidRPr="003556E4">
        <w:rPr>
          <w:rFonts w:ascii="Times New Roman" w:hAnsi="Times New Roman"/>
        </w:rPr>
        <w:t>can</w:t>
      </w:r>
      <w:r w:rsidR="00B51712" w:rsidRPr="003556E4">
        <w:rPr>
          <w:rFonts w:ascii="Times New Roman" w:hAnsi="Times New Roman"/>
          <w:lang w:val="en-GB"/>
        </w:rPr>
        <w:t xml:space="preserve"> a</w:t>
      </w:r>
      <w:r w:rsidR="005D52FA" w:rsidRPr="003556E4">
        <w:rPr>
          <w:rFonts w:ascii="Times New Roman" w:hAnsi="Times New Roman"/>
          <w:lang w:val="en-GB"/>
        </w:rPr>
        <w:t xml:space="preserve">lso serve as viable linkage mechanisms </w:t>
      </w:r>
      <w:r w:rsidR="00B51712" w:rsidRPr="003556E4">
        <w:rPr>
          <w:rFonts w:ascii="Times New Roman" w:hAnsi="Times New Roman"/>
          <w:lang w:val="en-GB"/>
        </w:rPr>
        <w:t>to other service providers</w:t>
      </w:r>
      <w:r w:rsidR="00B04FFC" w:rsidRPr="003556E4">
        <w:rPr>
          <w:rFonts w:ascii="Times New Roman" w:hAnsi="Times New Roman"/>
          <w:lang w:val="en-GB"/>
        </w:rPr>
        <w:t>,</w:t>
      </w:r>
      <w:r w:rsidR="00B51712" w:rsidRPr="003556E4">
        <w:rPr>
          <w:rFonts w:ascii="Times New Roman" w:hAnsi="Times New Roman"/>
          <w:lang w:val="en-GB"/>
        </w:rPr>
        <w:t xml:space="preserve"> including input suppliers</w:t>
      </w:r>
      <w:r w:rsidR="005D52FA" w:rsidRPr="003556E4">
        <w:rPr>
          <w:rFonts w:ascii="Times New Roman" w:hAnsi="Times New Roman"/>
          <w:lang w:val="en-GB"/>
        </w:rPr>
        <w:t xml:space="preserve"> and marketing agencies</w:t>
      </w:r>
      <w:r w:rsidR="00AD4B8F" w:rsidRPr="003556E4">
        <w:rPr>
          <w:rFonts w:ascii="Times New Roman" w:hAnsi="Times New Roman"/>
          <w:lang w:val="en-GB"/>
        </w:rPr>
        <w:t>.</w:t>
      </w:r>
      <w:r w:rsidR="00E02973">
        <w:rPr>
          <w:rFonts w:ascii="Times New Roman" w:hAnsi="Times New Roman"/>
          <w:lang w:val="en-GB"/>
        </w:rPr>
        <w:t xml:space="preserve">  With capacity development</w:t>
      </w:r>
      <w:r w:rsidR="000A1EFD">
        <w:rPr>
          <w:rFonts w:ascii="Times New Roman" w:hAnsi="Times New Roman"/>
          <w:lang w:val="en-GB"/>
        </w:rPr>
        <w:t>, farmer groups</w:t>
      </w:r>
      <w:r w:rsidR="00C847C0">
        <w:rPr>
          <w:rFonts w:ascii="Times New Roman" w:hAnsi="Times New Roman"/>
          <w:lang w:val="en-GB"/>
        </w:rPr>
        <w:t xml:space="preserve"> are enabled to </w:t>
      </w:r>
      <w:r w:rsidR="00E02973">
        <w:rPr>
          <w:rFonts w:ascii="Times New Roman" w:hAnsi="Times New Roman"/>
          <w:lang w:val="en-GB"/>
        </w:rPr>
        <w:t xml:space="preserve">act as their own </w:t>
      </w:r>
      <w:r w:rsidR="000A1EFD">
        <w:rPr>
          <w:rFonts w:ascii="Times New Roman" w:hAnsi="Times New Roman"/>
          <w:lang w:val="en-GB"/>
        </w:rPr>
        <w:t>A</w:t>
      </w:r>
      <w:r w:rsidR="00E02973">
        <w:rPr>
          <w:rFonts w:ascii="Times New Roman" w:hAnsi="Times New Roman"/>
          <w:lang w:val="en-GB"/>
        </w:rPr>
        <w:t>EAS providers, delivering services to their own members.</w:t>
      </w:r>
      <w:r w:rsidR="008A7332">
        <w:rPr>
          <w:rFonts w:ascii="Times New Roman" w:hAnsi="Times New Roman"/>
          <w:lang w:val="en-GB"/>
        </w:rPr>
        <w:t xml:space="preserve">  Active and competent groups will ensure meaningful farmer </w:t>
      </w:r>
      <w:r w:rsidR="0087387A">
        <w:rPr>
          <w:rFonts w:ascii="Times New Roman" w:hAnsi="Times New Roman"/>
          <w:lang w:val="en-GB"/>
        </w:rPr>
        <w:t xml:space="preserve">participation in representative AEAS platforms </w:t>
      </w:r>
      <w:r w:rsidR="008A7332">
        <w:rPr>
          <w:rFonts w:ascii="Times New Roman" w:hAnsi="Times New Roman"/>
          <w:lang w:val="en-GB"/>
        </w:rPr>
        <w:t xml:space="preserve">and </w:t>
      </w:r>
      <w:r w:rsidR="0087387A">
        <w:rPr>
          <w:rFonts w:ascii="Times New Roman" w:hAnsi="Times New Roman"/>
          <w:lang w:val="en-GB"/>
        </w:rPr>
        <w:t xml:space="preserve">groups </w:t>
      </w:r>
      <w:r w:rsidR="008A7332">
        <w:rPr>
          <w:rFonts w:ascii="Times New Roman" w:hAnsi="Times New Roman"/>
          <w:lang w:val="en-GB"/>
        </w:rPr>
        <w:t>will be called upon to part</w:t>
      </w:r>
      <w:r w:rsidR="0087387A">
        <w:rPr>
          <w:rFonts w:ascii="Times New Roman" w:hAnsi="Times New Roman"/>
          <w:lang w:val="en-GB"/>
        </w:rPr>
        <w:t>ake</w:t>
      </w:r>
      <w:r w:rsidR="008A7332">
        <w:rPr>
          <w:rFonts w:ascii="Times New Roman" w:hAnsi="Times New Roman"/>
          <w:lang w:val="en-GB"/>
        </w:rPr>
        <w:t xml:space="preserve"> in decisions regarding the planning, implementation, monitoring, and evaluation of </w:t>
      </w:r>
      <w:r w:rsidR="000A1EFD">
        <w:rPr>
          <w:rFonts w:ascii="Times New Roman" w:hAnsi="Times New Roman"/>
          <w:lang w:val="en-GB"/>
        </w:rPr>
        <w:t>A</w:t>
      </w:r>
      <w:r w:rsidR="008A7332">
        <w:rPr>
          <w:rFonts w:ascii="Times New Roman" w:hAnsi="Times New Roman"/>
          <w:lang w:val="en-GB"/>
        </w:rPr>
        <w:t>EAS.  As well, groups and organizations wil</w:t>
      </w:r>
      <w:r w:rsidR="0012047F">
        <w:rPr>
          <w:rFonts w:ascii="Times New Roman" w:hAnsi="Times New Roman"/>
          <w:lang w:val="en-GB"/>
        </w:rPr>
        <w:t>l</w:t>
      </w:r>
      <w:r w:rsidR="00C847C0">
        <w:rPr>
          <w:rFonts w:ascii="Times New Roman" w:hAnsi="Times New Roman"/>
          <w:lang w:val="en-GB"/>
        </w:rPr>
        <w:t xml:space="preserve">, </w:t>
      </w:r>
      <w:r w:rsidR="000A1EFD">
        <w:rPr>
          <w:rFonts w:ascii="Times New Roman" w:hAnsi="Times New Roman"/>
          <w:lang w:val="en-GB"/>
        </w:rPr>
        <w:t xml:space="preserve">to </w:t>
      </w:r>
      <w:r w:rsidR="008A7332">
        <w:rPr>
          <w:rFonts w:ascii="Times New Roman" w:hAnsi="Times New Roman"/>
          <w:lang w:val="en-GB"/>
        </w:rPr>
        <w:t>the extent possible</w:t>
      </w:r>
      <w:r w:rsidR="00C847C0">
        <w:rPr>
          <w:rFonts w:ascii="Times New Roman" w:hAnsi="Times New Roman"/>
          <w:lang w:val="en-GB"/>
        </w:rPr>
        <w:t xml:space="preserve">, </w:t>
      </w:r>
      <w:r w:rsidR="000A1EFD">
        <w:rPr>
          <w:rFonts w:ascii="Times New Roman" w:hAnsi="Times New Roman"/>
          <w:lang w:val="en-GB"/>
        </w:rPr>
        <w:t xml:space="preserve">increasingly </w:t>
      </w:r>
      <w:r w:rsidR="008A7332">
        <w:rPr>
          <w:rFonts w:ascii="Times New Roman" w:hAnsi="Times New Roman"/>
          <w:lang w:val="en-GB"/>
        </w:rPr>
        <w:t xml:space="preserve">influence the hiring of and incentives for their </w:t>
      </w:r>
      <w:r w:rsidR="000A1EFD">
        <w:rPr>
          <w:rFonts w:ascii="Times New Roman" w:hAnsi="Times New Roman"/>
          <w:lang w:val="en-GB"/>
        </w:rPr>
        <w:t>A</w:t>
      </w:r>
      <w:r w:rsidR="008A7332">
        <w:rPr>
          <w:rFonts w:ascii="Times New Roman" w:hAnsi="Times New Roman"/>
          <w:lang w:val="en-GB"/>
        </w:rPr>
        <w:t xml:space="preserve">EAS providers. </w:t>
      </w:r>
    </w:p>
    <w:p w:rsidR="00107B27" w:rsidRDefault="00107B27" w:rsidP="00ED3BAE">
      <w:pPr>
        <w:pStyle w:val="ListParagraph"/>
        <w:spacing w:after="0" w:line="240" w:lineRule="auto"/>
        <w:ind w:left="0"/>
        <w:jc w:val="both"/>
        <w:rPr>
          <w:rFonts w:ascii="Times New Roman" w:hAnsi="Times New Roman"/>
          <w:lang w:val="en-GB"/>
        </w:rPr>
      </w:pPr>
    </w:p>
    <w:p w:rsidR="00107B27" w:rsidRDefault="004F63CC" w:rsidP="00ED3BAE">
      <w:pPr>
        <w:pStyle w:val="ListParagraph"/>
        <w:spacing w:after="0" w:line="240" w:lineRule="auto"/>
        <w:ind w:left="0"/>
        <w:jc w:val="both"/>
        <w:rPr>
          <w:rFonts w:ascii="Times New Roman" w:hAnsi="Times New Roman"/>
          <w:b/>
          <w:lang w:val="en-GB"/>
        </w:rPr>
      </w:pPr>
      <w:r>
        <w:rPr>
          <w:rFonts w:ascii="Times New Roman" w:hAnsi="Times New Roman"/>
          <w:b/>
          <w:lang w:val="en-GB"/>
        </w:rPr>
        <w:t>3.3</w:t>
      </w:r>
      <w:r>
        <w:rPr>
          <w:rFonts w:ascii="Times New Roman" w:hAnsi="Times New Roman"/>
          <w:b/>
          <w:lang w:val="en-GB"/>
        </w:rPr>
        <w:tab/>
      </w:r>
      <w:r w:rsidR="00CB23E6">
        <w:rPr>
          <w:rFonts w:ascii="Times New Roman" w:hAnsi="Times New Roman"/>
          <w:b/>
          <w:lang w:val="en-GB"/>
        </w:rPr>
        <w:t xml:space="preserve">AEAS </w:t>
      </w:r>
      <w:r>
        <w:rPr>
          <w:rFonts w:ascii="Times New Roman" w:hAnsi="Times New Roman"/>
          <w:b/>
          <w:lang w:val="en-GB"/>
        </w:rPr>
        <w:t>Content,</w:t>
      </w:r>
      <w:r w:rsidR="00CD68C9">
        <w:rPr>
          <w:rFonts w:ascii="Times New Roman" w:hAnsi="Times New Roman"/>
          <w:b/>
          <w:lang w:val="en-GB"/>
        </w:rPr>
        <w:t xml:space="preserve"> </w:t>
      </w:r>
      <w:r w:rsidR="00107B27" w:rsidRPr="00107B27">
        <w:rPr>
          <w:rFonts w:ascii="Times New Roman" w:hAnsi="Times New Roman"/>
          <w:b/>
          <w:lang w:val="en-GB"/>
        </w:rPr>
        <w:t>Approach</w:t>
      </w:r>
      <w:r>
        <w:rPr>
          <w:rFonts w:ascii="Times New Roman" w:hAnsi="Times New Roman"/>
          <w:b/>
          <w:lang w:val="en-GB"/>
        </w:rPr>
        <w:t>, and Methods</w:t>
      </w:r>
    </w:p>
    <w:p w:rsidR="00714F03" w:rsidRDefault="00714F03" w:rsidP="00ED3BAE">
      <w:pPr>
        <w:pStyle w:val="ListParagraph"/>
        <w:spacing w:after="0" w:line="240" w:lineRule="auto"/>
        <w:ind w:left="0"/>
        <w:jc w:val="both"/>
        <w:rPr>
          <w:rFonts w:ascii="Times New Roman" w:hAnsi="Times New Roman"/>
          <w:b/>
          <w:lang w:val="en-GB"/>
        </w:rPr>
      </w:pPr>
    </w:p>
    <w:p w:rsidR="004F63CC" w:rsidRDefault="00714F03" w:rsidP="00ED3BAE">
      <w:pPr>
        <w:pStyle w:val="ListParagraph"/>
        <w:spacing w:after="0" w:line="240" w:lineRule="auto"/>
        <w:ind w:left="0"/>
        <w:jc w:val="both"/>
        <w:rPr>
          <w:rFonts w:ascii="Times New Roman" w:hAnsi="Times New Roman"/>
          <w:lang w:val="en-GB"/>
        </w:rPr>
      </w:pPr>
      <w:r>
        <w:rPr>
          <w:rFonts w:ascii="Times New Roman" w:hAnsi="Times New Roman"/>
          <w:lang w:val="en-GB"/>
        </w:rPr>
        <w:t>Whi</w:t>
      </w:r>
      <w:r w:rsidR="007369D9">
        <w:rPr>
          <w:rFonts w:ascii="Times New Roman" w:hAnsi="Times New Roman"/>
          <w:lang w:val="en-GB"/>
        </w:rPr>
        <w:t>le AEAS covers all major content areas</w:t>
      </w:r>
      <w:r>
        <w:rPr>
          <w:rFonts w:ascii="Times New Roman" w:hAnsi="Times New Roman"/>
          <w:lang w:val="en-GB"/>
        </w:rPr>
        <w:t xml:space="preserve"> of agriculture—including </w:t>
      </w:r>
      <w:r w:rsidR="007369D9">
        <w:rPr>
          <w:rFonts w:ascii="Times New Roman" w:hAnsi="Times New Roman"/>
          <w:lang w:val="en-GB"/>
        </w:rPr>
        <w:t>farm management</w:t>
      </w:r>
      <w:r w:rsidR="00314F19">
        <w:rPr>
          <w:rFonts w:ascii="Times New Roman" w:hAnsi="Times New Roman"/>
          <w:lang w:val="en-GB"/>
        </w:rPr>
        <w:t xml:space="preserve"> and farm financing</w:t>
      </w:r>
      <w:r w:rsidR="007369D9">
        <w:rPr>
          <w:rFonts w:ascii="Times New Roman" w:hAnsi="Times New Roman"/>
          <w:lang w:val="en-GB"/>
        </w:rPr>
        <w:t xml:space="preserve">; </w:t>
      </w:r>
      <w:r>
        <w:rPr>
          <w:rFonts w:ascii="Times New Roman" w:hAnsi="Times New Roman"/>
          <w:lang w:val="en-GB"/>
        </w:rPr>
        <w:t xml:space="preserve">production of </w:t>
      </w:r>
      <w:r w:rsidR="007369D9">
        <w:rPr>
          <w:rFonts w:ascii="Times New Roman" w:hAnsi="Times New Roman"/>
          <w:lang w:val="en-GB"/>
        </w:rPr>
        <w:t xml:space="preserve">food, tree, and cash </w:t>
      </w:r>
      <w:r>
        <w:rPr>
          <w:rFonts w:ascii="Times New Roman" w:hAnsi="Times New Roman"/>
          <w:lang w:val="en-GB"/>
        </w:rPr>
        <w:t xml:space="preserve">crops, livestock, and fish; </w:t>
      </w:r>
      <w:r w:rsidR="0012047F">
        <w:rPr>
          <w:rFonts w:ascii="Times New Roman" w:hAnsi="Times New Roman"/>
          <w:lang w:val="en-GB"/>
        </w:rPr>
        <w:t xml:space="preserve">post-harvest practices and </w:t>
      </w:r>
      <w:r>
        <w:rPr>
          <w:rFonts w:ascii="Times New Roman" w:hAnsi="Times New Roman"/>
          <w:lang w:val="en-GB"/>
        </w:rPr>
        <w:t>processing</w:t>
      </w:r>
      <w:r w:rsidR="007369D9">
        <w:rPr>
          <w:rFonts w:ascii="Times New Roman" w:hAnsi="Times New Roman"/>
          <w:lang w:val="en-GB"/>
        </w:rPr>
        <w:t xml:space="preserve">; credit; marketing; and business development services—the Policy emphasizes the importance of framing content within the context of farming as a business. </w:t>
      </w:r>
      <w:r w:rsidR="00B116B9">
        <w:rPr>
          <w:rFonts w:ascii="Times New Roman" w:hAnsi="Times New Roman"/>
          <w:lang w:val="en-GB"/>
        </w:rPr>
        <w:t xml:space="preserve"> </w:t>
      </w:r>
      <w:r w:rsidR="007369D9">
        <w:rPr>
          <w:rFonts w:ascii="Times New Roman" w:hAnsi="Times New Roman"/>
          <w:lang w:val="en-GB"/>
        </w:rPr>
        <w:t xml:space="preserve">As the lead ministry in the agriculture sector, the MOA is the focal point for content of AEAS content and messages. </w:t>
      </w:r>
      <w:r w:rsidR="00B116B9">
        <w:rPr>
          <w:rFonts w:ascii="Times New Roman" w:hAnsi="Times New Roman"/>
          <w:lang w:val="en-GB"/>
        </w:rPr>
        <w:t xml:space="preserve"> </w:t>
      </w:r>
      <w:r w:rsidR="007369D9">
        <w:rPr>
          <w:rFonts w:ascii="Times New Roman" w:hAnsi="Times New Roman"/>
          <w:lang w:val="en-GB"/>
        </w:rPr>
        <w:t>The Policy expects content and messages to be evidence-based</w:t>
      </w:r>
      <w:r w:rsidR="000242F4">
        <w:rPr>
          <w:rFonts w:ascii="Times New Roman" w:hAnsi="Times New Roman"/>
          <w:lang w:val="en-GB"/>
        </w:rPr>
        <w:t xml:space="preserve"> and reflect best practices.  A</w:t>
      </w:r>
      <w:r w:rsidR="007369D9">
        <w:rPr>
          <w:rFonts w:ascii="Times New Roman" w:hAnsi="Times New Roman"/>
          <w:lang w:val="en-GB"/>
        </w:rPr>
        <w:t>s requested, the MOA will make available technical content and messages to all AEAS providers.  This will involve a collaborative process of exchange of information as organizations other than the MOA may have the most current evidence-based</w:t>
      </w:r>
      <w:r w:rsidR="000242F4">
        <w:rPr>
          <w:rFonts w:ascii="Times New Roman" w:hAnsi="Times New Roman"/>
          <w:lang w:val="en-GB"/>
        </w:rPr>
        <w:t xml:space="preserve"> and best practices</w:t>
      </w:r>
      <w:r w:rsidR="007369D9">
        <w:rPr>
          <w:rFonts w:ascii="Times New Roman" w:hAnsi="Times New Roman"/>
          <w:lang w:val="en-GB"/>
        </w:rPr>
        <w:t xml:space="preserve"> content.  Where comparative advantage in</w:t>
      </w:r>
      <w:r w:rsidR="004F63CC">
        <w:rPr>
          <w:rFonts w:ascii="Times New Roman" w:hAnsi="Times New Roman"/>
          <w:lang w:val="en-GB"/>
        </w:rPr>
        <w:t xml:space="preserve"> terms of content and</w:t>
      </w:r>
      <w:r w:rsidR="007369D9">
        <w:rPr>
          <w:rFonts w:ascii="Times New Roman" w:hAnsi="Times New Roman"/>
          <w:lang w:val="en-GB"/>
        </w:rPr>
        <w:t xml:space="preserve"> delivery </w:t>
      </w:r>
      <w:r w:rsidR="004F63CC">
        <w:rPr>
          <w:rFonts w:ascii="Times New Roman" w:hAnsi="Times New Roman"/>
          <w:lang w:val="en-GB"/>
        </w:rPr>
        <w:t xml:space="preserve">capacity </w:t>
      </w:r>
      <w:r w:rsidR="007369D9">
        <w:rPr>
          <w:rFonts w:ascii="Times New Roman" w:hAnsi="Times New Roman"/>
          <w:lang w:val="en-GB"/>
        </w:rPr>
        <w:t>of AEAS is established</w:t>
      </w:r>
      <w:r w:rsidR="000242F4">
        <w:rPr>
          <w:rFonts w:ascii="Times New Roman" w:hAnsi="Times New Roman"/>
          <w:lang w:val="en-GB"/>
        </w:rPr>
        <w:t xml:space="preserve"> and agreed upon</w:t>
      </w:r>
      <w:r w:rsidR="007369D9">
        <w:rPr>
          <w:rFonts w:ascii="Times New Roman" w:hAnsi="Times New Roman"/>
          <w:lang w:val="en-GB"/>
        </w:rPr>
        <w:t xml:space="preserve">, </w:t>
      </w:r>
      <w:r w:rsidR="0087387A">
        <w:rPr>
          <w:rFonts w:ascii="Times New Roman" w:hAnsi="Times New Roman"/>
          <w:lang w:val="en-GB"/>
        </w:rPr>
        <w:t xml:space="preserve">possibly </w:t>
      </w:r>
      <w:r w:rsidR="007369D9">
        <w:rPr>
          <w:rFonts w:ascii="Times New Roman" w:hAnsi="Times New Roman"/>
          <w:lang w:val="en-GB"/>
        </w:rPr>
        <w:t xml:space="preserve">in the rubber </w:t>
      </w:r>
      <w:r w:rsidR="00286120">
        <w:rPr>
          <w:rFonts w:ascii="Times New Roman" w:hAnsi="Times New Roman"/>
          <w:lang w:val="en-GB"/>
        </w:rPr>
        <w:t>and oil pa</w:t>
      </w:r>
      <w:r w:rsidR="00011186">
        <w:rPr>
          <w:rFonts w:ascii="Times New Roman" w:hAnsi="Times New Roman"/>
          <w:lang w:val="en-GB"/>
        </w:rPr>
        <w:t>l</w:t>
      </w:r>
      <w:r w:rsidR="00286120">
        <w:rPr>
          <w:rFonts w:ascii="Times New Roman" w:hAnsi="Times New Roman"/>
          <w:lang w:val="en-GB"/>
        </w:rPr>
        <w:t xml:space="preserve">m </w:t>
      </w:r>
      <w:r w:rsidR="007369D9">
        <w:rPr>
          <w:rFonts w:ascii="Times New Roman" w:hAnsi="Times New Roman"/>
          <w:lang w:val="en-GB"/>
        </w:rPr>
        <w:t>industr</w:t>
      </w:r>
      <w:r w:rsidR="00286120">
        <w:rPr>
          <w:rFonts w:ascii="Times New Roman" w:hAnsi="Times New Roman"/>
          <w:lang w:val="en-GB"/>
        </w:rPr>
        <w:t>ies</w:t>
      </w:r>
      <w:r w:rsidR="0087387A">
        <w:rPr>
          <w:rFonts w:ascii="Times New Roman" w:hAnsi="Times New Roman"/>
          <w:lang w:val="en-GB"/>
        </w:rPr>
        <w:t xml:space="preserve"> for example</w:t>
      </w:r>
      <w:r w:rsidR="007369D9">
        <w:rPr>
          <w:rFonts w:ascii="Times New Roman" w:hAnsi="Times New Roman"/>
          <w:lang w:val="en-GB"/>
        </w:rPr>
        <w:t>, the MOA will rel</w:t>
      </w:r>
      <w:r w:rsidR="004F63CC">
        <w:rPr>
          <w:rFonts w:ascii="Times New Roman" w:hAnsi="Times New Roman"/>
          <w:lang w:val="en-GB"/>
        </w:rPr>
        <w:t xml:space="preserve">y on competent actors in the sector to deliver the majority of AEAS with subsequent decrease in MOA direct involvement in service delivery in the sector. </w:t>
      </w:r>
      <w:r w:rsidR="007369D9">
        <w:rPr>
          <w:rFonts w:ascii="Times New Roman" w:hAnsi="Times New Roman"/>
          <w:lang w:val="en-GB"/>
        </w:rPr>
        <w:t xml:space="preserve"> </w:t>
      </w:r>
    </w:p>
    <w:p w:rsidR="004F63CC" w:rsidRDefault="004F63CC" w:rsidP="00ED3BAE">
      <w:pPr>
        <w:pStyle w:val="ListParagraph"/>
        <w:spacing w:after="0" w:line="240" w:lineRule="auto"/>
        <w:ind w:left="0"/>
        <w:jc w:val="both"/>
        <w:rPr>
          <w:rFonts w:ascii="Times New Roman" w:hAnsi="Times New Roman"/>
          <w:lang w:val="en-GB"/>
        </w:rPr>
      </w:pPr>
    </w:p>
    <w:p w:rsidR="008A7332" w:rsidRDefault="004F63CC" w:rsidP="00ED3BAE">
      <w:pPr>
        <w:pStyle w:val="ListParagraph"/>
        <w:spacing w:after="0" w:line="240" w:lineRule="auto"/>
        <w:ind w:left="0"/>
        <w:jc w:val="both"/>
        <w:rPr>
          <w:rFonts w:ascii="Times New Roman" w:eastAsia="Times New Roman" w:hAnsi="Times New Roman"/>
          <w:lang w:val="en-GB"/>
        </w:rPr>
      </w:pPr>
      <w:r>
        <w:rPr>
          <w:rFonts w:ascii="Times New Roman" w:hAnsi="Times New Roman"/>
          <w:lang w:val="en-GB"/>
        </w:rPr>
        <w:t>Given that there are various approaches to delivery of AEAS, the Policy supports all that are designed to be cost effective</w:t>
      </w:r>
      <w:r w:rsidR="00DD16FB">
        <w:rPr>
          <w:rFonts w:ascii="Times New Roman" w:hAnsi="Times New Roman"/>
          <w:lang w:val="en-GB"/>
        </w:rPr>
        <w:t xml:space="preserve"> and </w:t>
      </w:r>
      <w:r>
        <w:rPr>
          <w:rFonts w:ascii="Times New Roman" w:hAnsi="Times New Roman"/>
          <w:lang w:val="en-GB"/>
        </w:rPr>
        <w:t xml:space="preserve">efficient in reaching stated AEAS </w:t>
      </w:r>
      <w:r w:rsidR="00DD16FB">
        <w:rPr>
          <w:rFonts w:ascii="Times New Roman" w:hAnsi="Times New Roman"/>
          <w:lang w:val="en-GB"/>
        </w:rPr>
        <w:t>goals and objectives</w:t>
      </w:r>
      <w:r w:rsidR="00B116B9">
        <w:rPr>
          <w:rFonts w:ascii="Times New Roman" w:hAnsi="Times New Roman"/>
          <w:lang w:val="en-GB"/>
        </w:rPr>
        <w:t xml:space="preserve">.  </w:t>
      </w:r>
      <w:r w:rsidR="008E4BBC">
        <w:rPr>
          <w:rFonts w:ascii="Times New Roman" w:hAnsi="Times New Roman"/>
          <w:lang w:val="en-GB"/>
        </w:rPr>
        <w:t>While group based approaches are strongly encouraged, considered as best practice, and essential to reach large numbers of clients, n</w:t>
      </w:r>
      <w:r>
        <w:rPr>
          <w:rFonts w:ascii="Times New Roman" w:hAnsi="Times New Roman"/>
          <w:lang w:val="en-GB"/>
        </w:rPr>
        <w:t>o single approach nor method is suitable f</w:t>
      </w:r>
      <w:r w:rsidR="00B116B9">
        <w:rPr>
          <w:rFonts w:ascii="Times New Roman" w:hAnsi="Times New Roman"/>
          <w:lang w:val="en-GB"/>
        </w:rPr>
        <w:t xml:space="preserve">or all purposes and occasions.  </w:t>
      </w:r>
      <w:r>
        <w:rPr>
          <w:rFonts w:ascii="Times New Roman" w:hAnsi="Times New Roman"/>
          <w:lang w:val="en-GB"/>
        </w:rPr>
        <w:t>AEAS providers will select appropriate approaches and methods in order to meet specific AEAS objectives with various categories of clients.  The Policy</w:t>
      </w:r>
      <w:r w:rsidR="00E92413">
        <w:rPr>
          <w:rFonts w:ascii="Times New Roman" w:hAnsi="Times New Roman"/>
          <w:lang w:val="en-GB"/>
        </w:rPr>
        <w:t xml:space="preserve"> strives for and</w:t>
      </w:r>
      <w:r>
        <w:rPr>
          <w:rFonts w:ascii="Times New Roman" w:hAnsi="Times New Roman"/>
          <w:lang w:val="en-GB"/>
        </w:rPr>
        <w:t xml:space="preserve"> </w:t>
      </w:r>
      <w:r w:rsidR="00DD16FB">
        <w:rPr>
          <w:rFonts w:ascii="Times New Roman" w:hAnsi="Times New Roman"/>
          <w:lang w:val="en-GB"/>
        </w:rPr>
        <w:t>appreciates</w:t>
      </w:r>
      <w:r>
        <w:rPr>
          <w:rFonts w:ascii="Times New Roman" w:hAnsi="Times New Roman"/>
          <w:lang w:val="en-GB"/>
        </w:rPr>
        <w:t xml:space="preserve"> </w:t>
      </w:r>
      <w:r w:rsidR="000242F4">
        <w:rPr>
          <w:rFonts w:ascii="Times New Roman" w:hAnsi="Times New Roman"/>
          <w:lang w:val="en-GB"/>
        </w:rPr>
        <w:t xml:space="preserve">approaches and methods that are grounded in best practices, are </w:t>
      </w:r>
      <w:r>
        <w:rPr>
          <w:rFonts w:ascii="Times New Roman" w:hAnsi="Times New Roman"/>
          <w:lang w:val="en-GB"/>
        </w:rPr>
        <w:t>participatory</w:t>
      </w:r>
      <w:r w:rsidR="000242F4">
        <w:rPr>
          <w:rFonts w:ascii="Times New Roman" w:hAnsi="Times New Roman"/>
          <w:lang w:val="en-GB"/>
        </w:rPr>
        <w:t>,</w:t>
      </w:r>
      <w:r w:rsidR="00E92413">
        <w:rPr>
          <w:rFonts w:ascii="Times New Roman" w:hAnsi="Times New Roman"/>
          <w:lang w:val="en-GB"/>
        </w:rPr>
        <w:t xml:space="preserve"> that empower AEAS clients, and that are sustainable.</w:t>
      </w:r>
      <w:r>
        <w:rPr>
          <w:rFonts w:ascii="Times New Roman" w:hAnsi="Times New Roman"/>
          <w:lang w:val="en-GB"/>
        </w:rPr>
        <w:t xml:space="preserve"> </w:t>
      </w:r>
      <w:r w:rsidR="00061CC9">
        <w:rPr>
          <w:rFonts w:ascii="Times New Roman" w:hAnsi="Times New Roman"/>
          <w:lang w:val="en-GB"/>
        </w:rPr>
        <w:t xml:space="preserve"> The Policy promotes the use of Information Communication Technology (ICT) as a critical component in the pro</w:t>
      </w:r>
      <w:r w:rsidR="00B116B9">
        <w:rPr>
          <w:rFonts w:ascii="Times New Roman" w:hAnsi="Times New Roman"/>
          <w:lang w:val="en-GB"/>
        </w:rPr>
        <w:t xml:space="preserve">vision of AEAS.  </w:t>
      </w:r>
      <w:r w:rsidR="00061CC9" w:rsidRPr="003556E4">
        <w:rPr>
          <w:rFonts w:ascii="Times New Roman" w:eastAsia="Times New Roman" w:hAnsi="Times New Roman"/>
          <w:lang w:val="en-GB"/>
        </w:rPr>
        <w:t xml:space="preserve">Harnessing ICT </w:t>
      </w:r>
      <w:r w:rsidR="00061CC9">
        <w:rPr>
          <w:rFonts w:ascii="Times New Roman" w:eastAsia="Times New Roman" w:hAnsi="Times New Roman"/>
          <w:lang w:val="en-GB"/>
        </w:rPr>
        <w:t xml:space="preserve">for AEAS provision will ensure that information, including feedback, is shared more widely, more cost-effectively, and more rapidly to diverse clients across the country.  </w:t>
      </w:r>
    </w:p>
    <w:p w:rsidR="0012047F" w:rsidRDefault="0012047F" w:rsidP="00ED3BAE">
      <w:pPr>
        <w:pStyle w:val="ListParagraph"/>
        <w:spacing w:after="0" w:line="240" w:lineRule="auto"/>
        <w:ind w:left="0"/>
        <w:jc w:val="both"/>
        <w:rPr>
          <w:rFonts w:ascii="Times New Roman" w:hAnsi="Times New Roman"/>
          <w:lang w:val="en-GB"/>
        </w:rPr>
      </w:pPr>
    </w:p>
    <w:p w:rsidR="008A7332" w:rsidRPr="00420AA8" w:rsidRDefault="008A7332" w:rsidP="00ED3BAE">
      <w:pPr>
        <w:pStyle w:val="ListParagraph"/>
        <w:spacing w:after="0" w:line="240" w:lineRule="auto"/>
        <w:ind w:left="0"/>
        <w:jc w:val="both"/>
        <w:rPr>
          <w:rFonts w:ascii="Times New Roman" w:hAnsi="Times New Roman"/>
          <w:b/>
          <w:lang w:val="en-GB"/>
        </w:rPr>
      </w:pPr>
      <w:r w:rsidRPr="00420AA8">
        <w:rPr>
          <w:rFonts w:ascii="Times New Roman" w:hAnsi="Times New Roman"/>
          <w:b/>
          <w:lang w:val="en-GB"/>
        </w:rPr>
        <w:t>3.</w:t>
      </w:r>
      <w:r w:rsidR="00107B27">
        <w:rPr>
          <w:rFonts w:ascii="Times New Roman" w:hAnsi="Times New Roman"/>
          <w:b/>
          <w:lang w:val="en-GB"/>
        </w:rPr>
        <w:t>4</w:t>
      </w:r>
      <w:r w:rsidRPr="00420AA8">
        <w:rPr>
          <w:rFonts w:ascii="Times New Roman" w:hAnsi="Times New Roman"/>
          <w:b/>
          <w:lang w:val="en-GB"/>
        </w:rPr>
        <w:tab/>
        <w:t>Actor Roles and Responsibilities</w:t>
      </w:r>
    </w:p>
    <w:p w:rsidR="008A7332" w:rsidRDefault="008A7332" w:rsidP="00ED3BAE">
      <w:pPr>
        <w:pStyle w:val="ListParagraph"/>
        <w:spacing w:after="0" w:line="240" w:lineRule="auto"/>
        <w:ind w:left="0"/>
        <w:jc w:val="both"/>
        <w:rPr>
          <w:rFonts w:ascii="Times New Roman" w:hAnsi="Times New Roman"/>
          <w:lang w:val="en-GB"/>
        </w:rPr>
      </w:pPr>
    </w:p>
    <w:p w:rsidR="007F23FC" w:rsidRDefault="007F23FC" w:rsidP="00ED3BAE">
      <w:pPr>
        <w:pStyle w:val="ListParagraph"/>
        <w:spacing w:after="0" w:line="240" w:lineRule="auto"/>
        <w:ind w:left="0"/>
        <w:jc w:val="both"/>
        <w:rPr>
          <w:rFonts w:ascii="Times New Roman" w:hAnsi="Times New Roman"/>
          <w:lang w:val="en-GB"/>
        </w:rPr>
      </w:pPr>
      <w:r>
        <w:rPr>
          <w:rFonts w:ascii="Times New Roman" w:hAnsi="Times New Roman"/>
          <w:lang w:val="en-GB"/>
        </w:rPr>
        <w:t>Changes in AEAS providers and the delivery</w:t>
      </w:r>
      <w:r w:rsidR="00576228">
        <w:rPr>
          <w:rFonts w:ascii="Times New Roman" w:hAnsi="Times New Roman"/>
          <w:lang w:val="en-GB"/>
        </w:rPr>
        <w:t xml:space="preserve"> system give rise to </w:t>
      </w:r>
      <w:r w:rsidR="008D0350">
        <w:rPr>
          <w:rFonts w:ascii="Times New Roman" w:hAnsi="Times New Roman"/>
          <w:lang w:val="en-GB"/>
        </w:rPr>
        <w:t>modification</w:t>
      </w:r>
      <w:r w:rsidR="00576228">
        <w:rPr>
          <w:rFonts w:ascii="Times New Roman" w:hAnsi="Times New Roman"/>
          <w:lang w:val="en-GB"/>
        </w:rPr>
        <w:t>s</w:t>
      </w:r>
      <w:r w:rsidR="008D0350">
        <w:rPr>
          <w:rFonts w:ascii="Times New Roman" w:hAnsi="Times New Roman"/>
          <w:lang w:val="en-GB"/>
        </w:rPr>
        <w:t xml:space="preserve"> </w:t>
      </w:r>
      <w:r>
        <w:rPr>
          <w:rFonts w:ascii="Times New Roman" w:hAnsi="Times New Roman"/>
          <w:lang w:val="en-GB"/>
        </w:rPr>
        <w:t xml:space="preserve">in the roles and responsibilities of the public, private, and civil society </w:t>
      </w:r>
      <w:r w:rsidR="002D07C6">
        <w:rPr>
          <w:rFonts w:ascii="Times New Roman" w:hAnsi="Times New Roman"/>
          <w:lang w:val="en-GB"/>
        </w:rPr>
        <w:t xml:space="preserve">sector </w:t>
      </w:r>
      <w:r>
        <w:rPr>
          <w:rFonts w:ascii="Times New Roman" w:hAnsi="Times New Roman"/>
          <w:lang w:val="en-GB"/>
        </w:rPr>
        <w:t>actors</w:t>
      </w:r>
      <w:r w:rsidR="00E67C2A">
        <w:rPr>
          <w:rFonts w:ascii="Times New Roman" w:hAnsi="Times New Roman"/>
          <w:lang w:val="en-GB"/>
        </w:rPr>
        <w:t xml:space="preserve"> and others</w:t>
      </w:r>
      <w:r>
        <w:rPr>
          <w:rFonts w:ascii="Times New Roman" w:hAnsi="Times New Roman"/>
          <w:lang w:val="en-GB"/>
        </w:rPr>
        <w:t xml:space="preserve"> in the system.   </w:t>
      </w:r>
    </w:p>
    <w:p w:rsidR="008D0350" w:rsidRDefault="008D0350" w:rsidP="00ED3BAE">
      <w:pPr>
        <w:pStyle w:val="ListParagraph"/>
        <w:spacing w:after="0" w:line="240" w:lineRule="auto"/>
        <w:ind w:left="0"/>
        <w:jc w:val="both"/>
        <w:rPr>
          <w:rFonts w:ascii="Times New Roman" w:hAnsi="Times New Roman"/>
          <w:lang w:val="en-GB"/>
        </w:rPr>
      </w:pPr>
    </w:p>
    <w:p w:rsidR="008A7332" w:rsidRPr="00420AA8" w:rsidRDefault="008A7332" w:rsidP="00ED3BAE">
      <w:pPr>
        <w:pStyle w:val="ListParagraph"/>
        <w:spacing w:after="0" w:line="240" w:lineRule="auto"/>
        <w:ind w:left="0"/>
        <w:jc w:val="both"/>
        <w:rPr>
          <w:rFonts w:ascii="Times New Roman" w:hAnsi="Times New Roman"/>
          <w:b/>
          <w:lang w:val="en-GB"/>
        </w:rPr>
      </w:pPr>
      <w:r w:rsidRPr="00420AA8">
        <w:rPr>
          <w:rFonts w:ascii="Times New Roman" w:hAnsi="Times New Roman"/>
          <w:b/>
          <w:lang w:val="en-GB"/>
        </w:rPr>
        <w:t>3.</w:t>
      </w:r>
      <w:r w:rsidR="00107B27">
        <w:rPr>
          <w:rFonts w:ascii="Times New Roman" w:hAnsi="Times New Roman"/>
          <w:b/>
          <w:lang w:val="en-GB"/>
        </w:rPr>
        <w:t>4</w:t>
      </w:r>
      <w:r w:rsidRPr="00420AA8">
        <w:rPr>
          <w:rFonts w:ascii="Times New Roman" w:hAnsi="Times New Roman"/>
          <w:b/>
          <w:lang w:val="en-GB"/>
        </w:rPr>
        <w:t>.1</w:t>
      </w:r>
      <w:r w:rsidRPr="00420AA8">
        <w:rPr>
          <w:rFonts w:ascii="Times New Roman" w:hAnsi="Times New Roman"/>
          <w:b/>
          <w:lang w:val="en-GB"/>
        </w:rPr>
        <w:tab/>
        <w:t>Public Sector</w:t>
      </w:r>
    </w:p>
    <w:p w:rsidR="00420AA8" w:rsidRDefault="00420AA8" w:rsidP="00ED3BAE">
      <w:pPr>
        <w:pStyle w:val="ListParagraph"/>
        <w:spacing w:after="0" w:line="240" w:lineRule="auto"/>
        <w:ind w:left="0"/>
        <w:jc w:val="both"/>
        <w:rPr>
          <w:rFonts w:ascii="Times New Roman" w:hAnsi="Times New Roman"/>
          <w:lang w:val="en-GB"/>
        </w:rPr>
      </w:pPr>
    </w:p>
    <w:p w:rsidR="00FA5F14" w:rsidRPr="00FA5F14" w:rsidRDefault="000E10AD" w:rsidP="00ED3BAE">
      <w:pPr>
        <w:pStyle w:val="ListParagraph"/>
        <w:numPr>
          <w:ilvl w:val="0"/>
          <w:numId w:val="18"/>
        </w:numPr>
        <w:spacing w:after="0" w:line="240" w:lineRule="auto"/>
        <w:jc w:val="both"/>
        <w:rPr>
          <w:rFonts w:ascii="Times New Roman" w:hAnsi="Times New Roman"/>
          <w:b/>
          <w:lang w:val="en-GB"/>
        </w:rPr>
      </w:pPr>
      <w:r w:rsidRPr="000E10AD">
        <w:rPr>
          <w:rFonts w:ascii="Times New Roman" w:hAnsi="Times New Roman"/>
          <w:b/>
          <w:i/>
          <w:lang w:val="en-GB"/>
        </w:rPr>
        <w:t>The MOA</w:t>
      </w:r>
      <w:r w:rsidR="003B63CB">
        <w:rPr>
          <w:rFonts w:ascii="Times New Roman" w:hAnsi="Times New Roman"/>
          <w:b/>
          <w:lang w:val="en-GB"/>
        </w:rPr>
        <w:t xml:space="preserve">.  </w:t>
      </w:r>
      <w:r w:rsidR="003B63CB">
        <w:rPr>
          <w:rFonts w:ascii="Times New Roman" w:hAnsi="Times New Roman"/>
          <w:lang w:val="en-GB"/>
        </w:rPr>
        <w:t xml:space="preserve">The overarching </w:t>
      </w:r>
      <w:r w:rsidR="003B63CB">
        <w:rPr>
          <w:rFonts w:ascii="Times New Roman" w:hAnsi="Times New Roman"/>
        </w:rPr>
        <w:t>responsibility</w:t>
      </w:r>
      <w:r w:rsidR="003B63CB">
        <w:rPr>
          <w:rFonts w:ascii="Times New Roman" w:hAnsi="Times New Roman"/>
          <w:lang w:val="en-GB"/>
        </w:rPr>
        <w:t xml:space="preserve"> of the MOA in the drive toward transforming AEAS is to create an environment conducive to the full participation in AEAS of all AEAS </w:t>
      </w:r>
      <w:r w:rsidR="00C20174">
        <w:rPr>
          <w:rFonts w:ascii="Times New Roman" w:hAnsi="Times New Roman"/>
          <w:lang w:val="en-GB"/>
        </w:rPr>
        <w:t xml:space="preserve">providers and AEAS clients </w:t>
      </w:r>
      <w:r w:rsidR="003B63CB">
        <w:rPr>
          <w:rFonts w:ascii="Times New Roman" w:hAnsi="Times New Roman"/>
          <w:lang w:val="en-GB"/>
        </w:rPr>
        <w:t xml:space="preserve">from </w:t>
      </w:r>
      <w:r w:rsidR="0012047F">
        <w:rPr>
          <w:rFonts w:ascii="Times New Roman" w:hAnsi="Times New Roman"/>
          <w:lang w:val="en-GB"/>
        </w:rPr>
        <w:t xml:space="preserve">the </w:t>
      </w:r>
      <w:r w:rsidR="003B63CB">
        <w:rPr>
          <w:rFonts w:ascii="Times New Roman" w:hAnsi="Times New Roman"/>
          <w:lang w:val="en-GB"/>
        </w:rPr>
        <w:t>public, private, and civil society sectors</w:t>
      </w:r>
      <w:r w:rsidR="00011186">
        <w:rPr>
          <w:rFonts w:ascii="Times New Roman" w:hAnsi="Times New Roman"/>
          <w:lang w:val="en-GB"/>
        </w:rPr>
        <w:t>.</w:t>
      </w:r>
      <w:r w:rsidR="003B63CB">
        <w:rPr>
          <w:rFonts w:ascii="Times New Roman" w:hAnsi="Times New Roman"/>
          <w:lang w:val="en-GB"/>
        </w:rPr>
        <w:t xml:space="preserve"> </w:t>
      </w:r>
      <w:r w:rsidR="00B116B9">
        <w:rPr>
          <w:rFonts w:ascii="Times New Roman" w:hAnsi="Times New Roman"/>
          <w:lang w:val="en-GB"/>
        </w:rPr>
        <w:t xml:space="preserve"> </w:t>
      </w:r>
      <w:r w:rsidR="003B63CB">
        <w:rPr>
          <w:rFonts w:ascii="Times New Roman" w:hAnsi="Times New Roman"/>
          <w:lang w:val="en-GB"/>
        </w:rPr>
        <w:t xml:space="preserve">The long-term goal foresees the private sector providing </w:t>
      </w:r>
      <w:r w:rsidR="001F2008">
        <w:rPr>
          <w:rFonts w:ascii="Times New Roman" w:hAnsi="Times New Roman"/>
          <w:lang w:val="en-GB"/>
        </w:rPr>
        <w:t>the very large majority of AEAS with MOA focused on its main functions</w:t>
      </w:r>
      <w:r w:rsidR="00D51A5E">
        <w:rPr>
          <w:rFonts w:ascii="Times New Roman" w:hAnsi="Times New Roman"/>
          <w:lang w:val="en-GB"/>
        </w:rPr>
        <w:t xml:space="preserve"> and having a reduced role in direct provision of AEAS.  </w:t>
      </w:r>
      <w:r w:rsidR="003B63CB">
        <w:rPr>
          <w:rFonts w:ascii="Times New Roman" w:hAnsi="Times New Roman"/>
          <w:lang w:val="en-GB"/>
        </w:rPr>
        <w:t>It is acknowledged however that in an econ</w:t>
      </w:r>
      <w:r w:rsidR="003B16E0">
        <w:rPr>
          <w:rFonts w:ascii="Times New Roman" w:hAnsi="Times New Roman"/>
          <w:lang w:val="en-GB"/>
        </w:rPr>
        <w:t>o</w:t>
      </w:r>
      <w:r w:rsidR="003B63CB">
        <w:rPr>
          <w:rFonts w:ascii="Times New Roman" w:hAnsi="Times New Roman"/>
          <w:lang w:val="en-GB"/>
        </w:rPr>
        <w:t xml:space="preserve">my where the large majority of farmers </w:t>
      </w:r>
      <w:r w:rsidR="003B16E0">
        <w:rPr>
          <w:rFonts w:ascii="Times New Roman" w:hAnsi="Times New Roman"/>
          <w:lang w:val="en-GB"/>
        </w:rPr>
        <w:t>are smallholders</w:t>
      </w:r>
      <w:r w:rsidR="003B63CB">
        <w:rPr>
          <w:rFonts w:ascii="Times New Roman" w:hAnsi="Times New Roman"/>
          <w:lang w:val="en-GB"/>
        </w:rPr>
        <w:t xml:space="preserve">, the public sector will continue to play a vital role in AEAS delivery. </w:t>
      </w:r>
      <w:r w:rsidR="00B116B9">
        <w:rPr>
          <w:rFonts w:ascii="Times New Roman" w:hAnsi="Times New Roman"/>
          <w:lang w:val="en-GB"/>
        </w:rPr>
        <w:t xml:space="preserve"> </w:t>
      </w:r>
      <w:r w:rsidR="003B63CB">
        <w:rPr>
          <w:rFonts w:ascii="Times New Roman" w:hAnsi="Times New Roman"/>
          <w:lang w:val="en-GB"/>
        </w:rPr>
        <w:t xml:space="preserve">The MOA will continue to be involved, as needed, in the provision of AEAS in the short and medium-term.  </w:t>
      </w:r>
    </w:p>
    <w:p w:rsidR="0012047F" w:rsidRDefault="0012047F" w:rsidP="00ED3BAE">
      <w:pPr>
        <w:pStyle w:val="ListParagraph"/>
        <w:spacing w:after="0" w:line="240" w:lineRule="auto"/>
        <w:jc w:val="both"/>
        <w:rPr>
          <w:rFonts w:ascii="Times New Roman" w:hAnsi="Times New Roman"/>
          <w:b/>
          <w:lang w:val="en-GB"/>
        </w:rPr>
      </w:pPr>
    </w:p>
    <w:p w:rsidR="0012047F" w:rsidRDefault="007E4A63" w:rsidP="00ED3BAE">
      <w:pPr>
        <w:pStyle w:val="ListParagraph"/>
        <w:spacing w:after="0" w:line="240" w:lineRule="auto"/>
        <w:ind w:hanging="720"/>
        <w:jc w:val="both"/>
        <w:rPr>
          <w:rFonts w:ascii="Times New Roman" w:hAnsi="Times New Roman"/>
          <w:b/>
          <w:lang w:val="en-GB"/>
        </w:rPr>
      </w:pPr>
      <w:r>
        <w:rPr>
          <w:rFonts w:ascii="Times New Roman" w:hAnsi="Times New Roman"/>
          <w:lang w:val="en-GB"/>
        </w:rPr>
        <w:tab/>
      </w:r>
      <w:r w:rsidR="003B63CB">
        <w:rPr>
          <w:rFonts w:ascii="Times New Roman" w:hAnsi="Times New Roman"/>
          <w:lang w:val="en-GB"/>
        </w:rPr>
        <w:t xml:space="preserve">The main functions of the MOA are coordination, </w:t>
      </w:r>
      <w:r w:rsidR="00D51A5E">
        <w:rPr>
          <w:rFonts w:ascii="Times New Roman" w:hAnsi="Times New Roman"/>
          <w:lang w:val="en-GB"/>
        </w:rPr>
        <w:t xml:space="preserve">facilitation, </w:t>
      </w:r>
      <w:r w:rsidR="003B63CB">
        <w:rPr>
          <w:rFonts w:ascii="Times New Roman" w:hAnsi="Times New Roman"/>
          <w:lang w:val="en-GB"/>
        </w:rPr>
        <w:t xml:space="preserve">regulation, monitoring, evaluation, and resource mobilization.  In the context of a pluralistic system, MOA </w:t>
      </w:r>
      <w:r w:rsidR="005305DD">
        <w:rPr>
          <w:rFonts w:ascii="Times New Roman" w:hAnsi="Times New Roman"/>
          <w:lang w:val="en-GB"/>
        </w:rPr>
        <w:t xml:space="preserve">responsibilities are to: </w:t>
      </w:r>
    </w:p>
    <w:p w:rsidR="0012047F" w:rsidRDefault="0012047F" w:rsidP="00ED3BAE">
      <w:pPr>
        <w:pStyle w:val="ListParagraph"/>
        <w:tabs>
          <w:tab w:val="left" w:pos="1080"/>
        </w:tabs>
        <w:spacing w:after="0" w:line="240" w:lineRule="auto"/>
        <w:ind w:left="1080" w:hanging="360"/>
        <w:jc w:val="both"/>
        <w:rPr>
          <w:rFonts w:ascii="Times New Roman" w:hAnsi="Times New Roman"/>
          <w:b/>
          <w:lang w:val="en-GB"/>
        </w:rPr>
      </w:pPr>
    </w:p>
    <w:p w:rsidR="0012047F" w:rsidRDefault="008F7820"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Creat</w:t>
      </w:r>
      <w:r w:rsidR="005274B4">
        <w:rPr>
          <w:rFonts w:ascii="Times New Roman" w:hAnsi="Times New Roman"/>
          <w:lang w:val="en-GB"/>
        </w:rPr>
        <w:t>e</w:t>
      </w:r>
      <w:r>
        <w:rPr>
          <w:rFonts w:ascii="Times New Roman" w:hAnsi="Times New Roman"/>
          <w:lang w:val="en-GB"/>
        </w:rPr>
        <w:t xml:space="preserve"> evidence-based extension messages and materials for use by AEAS</w:t>
      </w:r>
      <w:r w:rsidR="005274B4">
        <w:rPr>
          <w:rFonts w:ascii="Times New Roman" w:hAnsi="Times New Roman"/>
          <w:lang w:val="en-GB"/>
        </w:rPr>
        <w:t xml:space="preserve"> providers</w:t>
      </w:r>
      <w:r w:rsidR="00576228">
        <w:rPr>
          <w:rFonts w:ascii="Times New Roman" w:hAnsi="Times New Roman"/>
          <w:lang w:val="en-GB"/>
        </w:rPr>
        <w:t xml:space="preserve"> in their work with agricultural stakeholders</w:t>
      </w:r>
      <w:r>
        <w:rPr>
          <w:rFonts w:ascii="Times New Roman" w:hAnsi="Times New Roman"/>
          <w:lang w:val="en-GB"/>
        </w:rPr>
        <w:t>.</w:t>
      </w:r>
    </w:p>
    <w:p w:rsidR="00E6515D" w:rsidRDefault="00E6515D"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Coordinat</w:t>
      </w:r>
      <w:r w:rsidR="005274B4">
        <w:rPr>
          <w:rFonts w:ascii="Times New Roman" w:hAnsi="Times New Roman"/>
          <w:lang w:val="en-GB"/>
        </w:rPr>
        <w:t>e</w:t>
      </w:r>
      <w:r>
        <w:rPr>
          <w:rFonts w:ascii="Times New Roman" w:hAnsi="Times New Roman"/>
          <w:lang w:val="en-GB"/>
        </w:rPr>
        <w:t xml:space="preserve"> with regional, national, and local research entities</w:t>
      </w:r>
      <w:r w:rsidR="00CB690C">
        <w:rPr>
          <w:rFonts w:ascii="Times New Roman" w:hAnsi="Times New Roman"/>
          <w:lang w:val="en-GB"/>
        </w:rPr>
        <w:t xml:space="preserve"> and other relevant</w:t>
      </w:r>
      <w:r w:rsidR="00AA7162">
        <w:rPr>
          <w:rFonts w:ascii="Times New Roman" w:hAnsi="Times New Roman"/>
          <w:lang w:val="en-GB"/>
        </w:rPr>
        <w:t xml:space="preserve"> institutions (e.g., </w:t>
      </w:r>
      <w:r w:rsidR="005274B4">
        <w:rPr>
          <w:rFonts w:ascii="Times New Roman" w:hAnsi="Times New Roman"/>
          <w:lang w:val="en-GB"/>
        </w:rPr>
        <w:t>Environmental Protection Agency, Forestry Development Authority</w:t>
      </w:r>
      <w:r w:rsidR="00AA7162">
        <w:rPr>
          <w:rFonts w:ascii="Times New Roman" w:hAnsi="Times New Roman"/>
          <w:lang w:val="en-GB"/>
        </w:rPr>
        <w:t>)</w:t>
      </w:r>
      <w:r>
        <w:rPr>
          <w:rFonts w:ascii="Times New Roman" w:hAnsi="Times New Roman"/>
          <w:lang w:val="en-GB"/>
        </w:rPr>
        <w:t xml:space="preserve"> to facilitate the flow of information, issues, challenges</w:t>
      </w:r>
      <w:r w:rsidR="00CB690C">
        <w:rPr>
          <w:rFonts w:ascii="Times New Roman" w:hAnsi="Times New Roman"/>
          <w:lang w:val="en-GB"/>
        </w:rPr>
        <w:t>, and solutions</w:t>
      </w:r>
      <w:r>
        <w:rPr>
          <w:rFonts w:ascii="Times New Roman" w:hAnsi="Times New Roman"/>
          <w:lang w:val="en-GB"/>
        </w:rPr>
        <w:t xml:space="preserve"> among </w:t>
      </w:r>
      <w:r w:rsidR="00CB690C">
        <w:rPr>
          <w:rFonts w:ascii="Times New Roman" w:hAnsi="Times New Roman"/>
          <w:lang w:val="en-GB"/>
        </w:rPr>
        <w:t xml:space="preserve">all involved in </w:t>
      </w:r>
      <w:r>
        <w:rPr>
          <w:rFonts w:ascii="Times New Roman" w:hAnsi="Times New Roman"/>
          <w:lang w:val="en-GB"/>
        </w:rPr>
        <w:t>AEAS</w:t>
      </w:r>
      <w:r w:rsidR="00CB690C">
        <w:rPr>
          <w:rFonts w:ascii="Times New Roman" w:hAnsi="Times New Roman"/>
          <w:lang w:val="en-GB"/>
        </w:rPr>
        <w:t>.</w:t>
      </w:r>
    </w:p>
    <w:p w:rsidR="00056101" w:rsidRDefault="00E6515D"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Coordinat</w:t>
      </w:r>
      <w:r w:rsidR="005274B4">
        <w:rPr>
          <w:rFonts w:ascii="Times New Roman" w:hAnsi="Times New Roman"/>
          <w:lang w:val="en-GB"/>
        </w:rPr>
        <w:t>e</w:t>
      </w:r>
      <w:r>
        <w:rPr>
          <w:rFonts w:ascii="Times New Roman" w:hAnsi="Times New Roman"/>
          <w:lang w:val="en-GB"/>
        </w:rPr>
        <w:t xml:space="preserve"> AEAS-related data and information management systems including market transaction data.</w:t>
      </w:r>
    </w:p>
    <w:p w:rsidR="0012047F" w:rsidRDefault="003B63CB"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Coordinat</w:t>
      </w:r>
      <w:r w:rsidR="005274B4">
        <w:rPr>
          <w:rFonts w:ascii="Times New Roman" w:hAnsi="Times New Roman"/>
          <w:lang w:val="en-GB"/>
        </w:rPr>
        <w:t>e</w:t>
      </w:r>
      <w:r w:rsidR="005750F5">
        <w:rPr>
          <w:rFonts w:ascii="Times New Roman" w:hAnsi="Times New Roman"/>
          <w:lang w:val="en-GB"/>
        </w:rPr>
        <w:t xml:space="preserve"> </w:t>
      </w:r>
      <w:r>
        <w:rPr>
          <w:rFonts w:ascii="Times New Roman" w:hAnsi="Times New Roman"/>
          <w:lang w:val="en-GB"/>
        </w:rPr>
        <w:t>all AEAS</w:t>
      </w:r>
      <w:r w:rsidR="00DA5116">
        <w:rPr>
          <w:rFonts w:ascii="Times New Roman" w:hAnsi="Times New Roman"/>
          <w:lang w:val="en-GB"/>
        </w:rPr>
        <w:t xml:space="preserve"> providers to improve extension </w:t>
      </w:r>
      <w:r w:rsidR="006502AE">
        <w:rPr>
          <w:rFonts w:ascii="Times New Roman" w:hAnsi="Times New Roman"/>
          <w:lang w:val="en-GB"/>
        </w:rPr>
        <w:t xml:space="preserve">reach and </w:t>
      </w:r>
      <w:r w:rsidR="00DA5116">
        <w:rPr>
          <w:rFonts w:ascii="Times New Roman" w:hAnsi="Times New Roman"/>
          <w:lang w:val="en-GB"/>
        </w:rPr>
        <w:t>coverage</w:t>
      </w:r>
      <w:r w:rsidR="008343DA">
        <w:rPr>
          <w:rFonts w:ascii="Times New Roman" w:hAnsi="Times New Roman"/>
          <w:lang w:val="en-GB"/>
        </w:rPr>
        <w:t xml:space="preserve"> and</w:t>
      </w:r>
      <w:r w:rsidR="0012047F">
        <w:rPr>
          <w:rFonts w:ascii="Times New Roman" w:hAnsi="Times New Roman"/>
          <w:lang w:val="en-GB"/>
        </w:rPr>
        <w:t xml:space="preserve"> </w:t>
      </w:r>
      <w:r w:rsidR="00DA5116">
        <w:rPr>
          <w:rFonts w:ascii="Times New Roman" w:hAnsi="Times New Roman"/>
          <w:lang w:val="en-GB"/>
        </w:rPr>
        <w:t>minimize duplication of services</w:t>
      </w:r>
      <w:r w:rsidR="0012047F">
        <w:rPr>
          <w:rFonts w:ascii="Times New Roman" w:hAnsi="Times New Roman"/>
          <w:lang w:val="en-GB"/>
        </w:rPr>
        <w:t>.</w:t>
      </w:r>
    </w:p>
    <w:p w:rsidR="0012047F" w:rsidRDefault="00DA5116"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Monitor and evaluat</w:t>
      </w:r>
      <w:r w:rsidR="005274B4">
        <w:rPr>
          <w:rFonts w:ascii="Times New Roman" w:hAnsi="Times New Roman"/>
          <w:lang w:val="en-GB"/>
        </w:rPr>
        <w:t>e</w:t>
      </w:r>
      <w:r>
        <w:rPr>
          <w:rFonts w:ascii="Times New Roman" w:hAnsi="Times New Roman"/>
          <w:lang w:val="en-GB"/>
        </w:rPr>
        <w:t xml:space="preserve"> AEAS activities and projects implemented throughout the country for purposes of promoting quality of service delivery.</w:t>
      </w:r>
    </w:p>
    <w:p w:rsidR="0012047F" w:rsidRDefault="00DA5116"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Establish and facilitat</w:t>
      </w:r>
      <w:r w:rsidR="005274B4">
        <w:rPr>
          <w:rFonts w:ascii="Times New Roman" w:hAnsi="Times New Roman"/>
          <w:lang w:val="en-GB"/>
        </w:rPr>
        <w:t>e</w:t>
      </w:r>
      <w:r>
        <w:rPr>
          <w:rFonts w:ascii="Times New Roman" w:hAnsi="Times New Roman"/>
          <w:lang w:val="en-GB"/>
        </w:rPr>
        <w:t xml:space="preserve"> a participatory process for development of accreditation standards and guidelines for AEAS provi</w:t>
      </w:r>
      <w:r w:rsidR="00785BDE">
        <w:rPr>
          <w:rFonts w:ascii="Times New Roman" w:hAnsi="Times New Roman"/>
          <w:lang w:val="en-GB"/>
        </w:rPr>
        <w:t xml:space="preserve">ders at the individual and/or service group level.  </w:t>
      </w:r>
    </w:p>
    <w:p w:rsidR="0012047F" w:rsidRDefault="00DA5116"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A</w:t>
      </w:r>
      <w:r w:rsidR="003D4D9D">
        <w:rPr>
          <w:rFonts w:ascii="Times New Roman" w:hAnsi="Times New Roman"/>
          <w:lang w:val="en-GB"/>
        </w:rPr>
        <w:t xml:space="preserve">ccredit </w:t>
      </w:r>
      <w:r>
        <w:rPr>
          <w:rFonts w:ascii="Times New Roman" w:hAnsi="Times New Roman"/>
          <w:lang w:val="en-GB"/>
        </w:rPr>
        <w:t>AEAS providers</w:t>
      </w:r>
      <w:r w:rsidR="00720A59">
        <w:rPr>
          <w:rFonts w:ascii="Times New Roman" w:hAnsi="Times New Roman"/>
          <w:lang w:val="en-GB"/>
        </w:rPr>
        <w:t xml:space="preserve"> </w:t>
      </w:r>
      <w:r w:rsidR="0012047F">
        <w:rPr>
          <w:rFonts w:ascii="Times New Roman" w:hAnsi="Times New Roman"/>
          <w:lang w:val="en-GB"/>
        </w:rPr>
        <w:t xml:space="preserve">at the individual and/or service group level. </w:t>
      </w:r>
    </w:p>
    <w:p w:rsidR="0012047F" w:rsidRDefault="003D4D9D"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Promot</w:t>
      </w:r>
      <w:r w:rsidR="005274B4">
        <w:rPr>
          <w:rFonts w:ascii="Times New Roman" w:hAnsi="Times New Roman"/>
          <w:lang w:val="en-GB"/>
        </w:rPr>
        <w:t>e</w:t>
      </w:r>
      <w:r>
        <w:rPr>
          <w:rFonts w:ascii="Times New Roman" w:hAnsi="Times New Roman"/>
          <w:lang w:val="en-GB"/>
        </w:rPr>
        <w:t xml:space="preserve"> </w:t>
      </w:r>
      <w:r w:rsidR="006502AE">
        <w:rPr>
          <w:rFonts w:ascii="Times New Roman" w:hAnsi="Times New Roman"/>
          <w:lang w:val="en-GB"/>
        </w:rPr>
        <w:t xml:space="preserve">appropriate AEAS </w:t>
      </w:r>
      <w:r w:rsidR="00233365">
        <w:rPr>
          <w:rFonts w:ascii="Times New Roman" w:hAnsi="Times New Roman"/>
          <w:lang w:val="en-GB"/>
        </w:rPr>
        <w:t>(including farmer group development)</w:t>
      </w:r>
      <w:r w:rsidR="00CE71C5">
        <w:rPr>
          <w:rStyle w:val="FootnoteReference"/>
          <w:rFonts w:ascii="Times New Roman" w:hAnsi="Times New Roman"/>
          <w:lang w:val="en-GB"/>
        </w:rPr>
        <w:footnoteReference w:id="10"/>
      </w:r>
      <w:r w:rsidR="00CE71C5">
        <w:rPr>
          <w:rFonts w:ascii="Times New Roman" w:hAnsi="Times New Roman"/>
          <w:lang w:val="en-GB"/>
        </w:rPr>
        <w:t xml:space="preserve"> </w:t>
      </w:r>
      <w:r w:rsidR="00576228">
        <w:rPr>
          <w:rFonts w:ascii="Times New Roman" w:hAnsi="Times New Roman"/>
          <w:lang w:val="en-GB"/>
        </w:rPr>
        <w:t>on all agricultural-</w:t>
      </w:r>
      <w:r w:rsidR="006502AE">
        <w:rPr>
          <w:rFonts w:ascii="Times New Roman" w:hAnsi="Times New Roman"/>
          <w:lang w:val="en-GB"/>
        </w:rPr>
        <w:t>related subject-matter</w:t>
      </w:r>
      <w:r w:rsidR="00286120">
        <w:rPr>
          <w:rFonts w:ascii="Times New Roman" w:hAnsi="Times New Roman"/>
          <w:lang w:val="en-GB"/>
        </w:rPr>
        <w:t xml:space="preserve"> including land rights</w:t>
      </w:r>
      <w:r w:rsidR="006502AE">
        <w:rPr>
          <w:rFonts w:ascii="Times New Roman" w:hAnsi="Times New Roman"/>
          <w:lang w:val="en-GB"/>
        </w:rPr>
        <w:t xml:space="preserve">.  In the absence of private or civil society sector provision of AEAS, the MOA will provide such AEAS. </w:t>
      </w:r>
    </w:p>
    <w:p w:rsidR="0012047F" w:rsidRDefault="00233365"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 xml:space="preserve">Identify constraints to </w:t>
      </w:r>
      <w:r w:rsidR="003B16E0">
        <w:rPr>
          <w:rFonts w:ascii="Times New Roman" w:hAnsi="Times New Roman"/>
          <w:lang w:val="en-GB"/>
        </w:rPr>
        <w:t>efficient and effective AEAS, with the aim of removing these constraints.</w:t>
      </w:r>
    </w:p>
    <w:p w:rsidR="0012047F" w:rsidRDefault="003D4D9D" w:rsidP="00ED3BAE">
      <w:pPr>
        <w:pStyle w:val="ListParagraph"/>
        <w:numPr>
          <w:ilvl w:val="1"/>
          <w:numId w:val="18"/>
        </w:numPr>
        <w:tabs>
          <w:tab w:val="left" w:pos="1080"/>
        </w:tabs>
        <w:spacing w:after="0" w:line="240" w:lineRule="auto"/>
        <w:ind w:left="1080"/>
        <w:jc w:val="both"/>
        <w:rPr>
          <w:rFonts w:ascii="Times New Roman" w:hAnsi="Times New Roman"/>
          <w:lang w:val="en-GB"/>
        </w:rPr>
      </w:pPr>
      <w:r w:rsidRPr="006A1F54">
        <w:rPr>
          <w:rFonts w:ascii="Times New Roman" w:hAnsi="Times New Roman"/>
          <w:lang w:val="en-GB"/>
        </w:rPr>
        <w:t xml:space="preserve">Develop </w:t>
      </w:r>
      <w:r w:rsidR="003B16E0" w:rsidRPr="006A1F54">
        <w:rPr>
          <w:rFonts w:ascii="Times New Roman" w:hAnsi="Times New Roman"/>
          <w:lang w:val="en-GB"/>
        </w:rPr>
        <w:t>human resources for AEAS</w:t>
      </w:r>
      <w:r w:rsidR="006A1F54" w:rsidRPr="006A1F54">
        <w:rPr>
          <w:rFonts w:ascii="Times New Roman" w:hAnsi="Times New Roman"/>
          <w:lang w:val="en-GB"/>
        </w:rPr>
        <w:t xml:space="preserve"> </w:t>
      </w:r>
      <w:r w:rsidR="006A1F54" w:rsidRPr="006A1F54">
        <w:rPr>
          <w:rFonts w:ascii="Times New Roman" w:hAnsi="Times New Roman"/>
        </w:rPr>
        <w:t>including capacity development in technical, social, management, and organizational areas.</w:t>
      </w:r>
      <w:r w:rsidRPr="006A1F54">
        <w:rPr>
          <w:rFonts w:ascii="Times New Roman" w:hAnsi="Times New Roman"/>
          <w:lang w:val="en-GB"/>
        </w:rPr>
        <w:t xml:space="preserve">Maintain </w:t>
      </w:r>
      <w:r w:rsidR="008F7820" w:rsidRPr="006A1F54">
        <w:rPr>
          <w:rFonts w:ascii="Times New Roman" w:hAnsi="Times New Roman"/>
          <w:lang w:val="en-GB"/>
        </w:rPr>
        <w:t>a reasonable flow of funding for AEAS</w:t>
      </w:r>
      <w:r w:rsidR="008F7820">
        <w:rPr>
          <w:rFonts w:ascii="Times New Roman" w:hAnsi="Times New Roman"/>
          <w:lang w:val="en-GB"/>
        </w:rPr>
        <w:t>.</w:t>
      </w:r>
    </w:p>
    <w:p w:rsidR="0012047F" w:rsidRDefault="003D4D9D"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Facilitat</w:t>
      </w:r>
      <w:r w:rsidR="005274B4">
        <w:rPr>
          <w:rFonts w:ascii="Times New Roman" w:hAnsi="Times New Roman"/>
          <w:lang w:val="en-GB"/>
        </w:rPr>
        <w:t>e</w:t>
      </w:r>
      <w:r>
        <w:rPr>
          <w:rFonts w:ascii="Times New Roman" w:hAnsi="Times New Roman"/>
          <w:lang w:val="en-GB"/>
        </w:rPr>
        <w:t xml:space="preserve"> </w:t>
      </w:r>
      <w:r w:rsidR="00720A59">
        <w:rPr>
          <w:rFonts w:ascii="Times New Roman" w:hAnsi="Times New Roman"/>
          <w:lang w:val="en-GB"/>
        </w:rPr>
        <w:t xml:space="preserve">financial resources to farmer groups and associations so they are enabled to contract directly with public and private AEAS partners and define, manage, and implement their own AEAS. </w:t>
      </w:r>
    </w:p>
    <w:p w:rsidR="0012047F" w:rsidRDefault="00576228" w:rsidP="00ED3BAE">
      <w:pPr>
        <w:pStyle w:val="ListParagraph"/>
        <w:numPr>
          <w:ilvl w:val="1"/>
          <w:numId w:val="18"/>
        </w:numPr>
        <w:tabs>
          <w:tab w:val="left" w:pos="1080"/>
        </w:tabs>
        <w:spacing w:after="0" w:line="240" w:lineRule="auto"/>
        <w:ind w:left="1080"/>
        <w:jc w:val="both"/>
        <w:rPr>
          <w:rFonts w:ascii="Times New Roman" w:hAnsi="Times New Roman"/>
          <w:lang w:val="en-GB"/>
        </w:rPr>
      </w:pPr>
      <w:r>
        <w:rPr>
          <w:rFonts w:ascii="Times New Roman" w:hAnsi="Times New Roman"/>
          <w:lang w:val="en-GB"/>
        </w:rPr>
        <w:t xml:space="preserve">Review </w:t>
      </w:r>
      <w:r w:rsidR="00FA5F14">
        <w:rPr>
          <w:rFonts w:ascii="Times New Roman" w:hAnsi="Times New Roman"/>
          <w:lang w:val="en-GB"/>
        </w:rPr>
        <w:t>the National Policy on AEAS</w:t>
      </w:r>
      <w:r>
        <w:rPr>
          <w:rFonts w:ascii="Times New Roman" w:hAnsi="Times New Roman"/>
          <w:lang w:val="en-GB"/>
        </w:rPr>
        <w:t xml:space="preserve"> to reflect situational changes on a periodic basis.</w:t>
      </w:r>
    </w:p>
    <w:p w:rsidR="00420AA8" w:rsidRDefault="00420AA8" w:rsidP="00ED3BAE">
      <w:pPr>
        <w:pStyle w:val="ListParagraph"/>
        <w:tabs>
          <w:tab w:val="left" w:pos="1080"/>
        </w:tabs>
        <w:spacing w:after="0" w:line="240" w:lineRule="auto"/>
        <w:ind w:left="1080" w:hanging="360"/>
        <w:jc w:val="both"/>
        <w:rPr>
          <w:rFonts w:ascii="Times New Roman" w:hAnsi="Times New Roman"/>
          <w:lang w:val="en-GB"/>
        </w:rPr>
      </w:pPr>
    </w:p>
    <w:p w:rsidR="00420AA8" w:rsidRPr="00233365" w:rsidRDefault="000E10AD" w:rsidP="00ED3BAE">
      <w:pPr>
        <w:pStyle w:val="ListParagraph"/>
        <w:numPr>
          <w:ilvl w:val="0"/>
          <w:numId w:val="18"/>
        </w:numPr>
        <w:spacing w:after="0" w:line="240" w:lineRule="auto"/>
        <w:jc w:val="both"/>
        <w:rPr>
          <w:rFonts w:ascii="Times New Roman" w:hAnsi="Times New Roman"/>
          <w:b/>
          <w:lang w:val="en-GB"/>
        </w:rPr>
      </w:pPr>
      <w:r w:rsidRPr="000E10AD">
        <w:rPr>
          <w:rFonts w:ascii="Times New Roman" w:hAnsi="Times New Roman"/>
          <w:b/>
          <w:i/>
          <w:lang w:val="en-GB"/>
        </w:rPr>
        <w:t>Local County Authorities</w:t>
      </w:r>
      <w:r w:rsidR="00AB161F" w:rsidRPr="00AB161F">
        <w:rPr>
          <w:rFonts w:ascii="Times New Roman" w:hAnsi="Times New Roman"/>
          <w:b/>
          <w:lang w:val="en-GB"/>
        </w:rPr>
        <w:t>.</w:t>
      </w:r>
      <w:r w:rsidR="008F7820">
        <w:rPr>
          <w:rFonts w:ascii="Times New Roman" w:hAnsi="Times New Roman"/>
          <w:b/>
          <w:lang w:val="en-GB"/>
        </w:rPr>
        <w:t xml:space="preserve"> </w:t>
      </w:r>
      <w:r w:rsidR="00B116B9">
        <w:rPr>
          <w:rFonts w:ascii="Times New Roman" w:hAnsi="Times New Roman"/>
          <w:b/>
          <w:lang w:val="en-GB"/>
        </w:rPr>
        <w:t xml:space="preserve"> </w:t>
      </w:r>
      <w:r w:rsidR="008F7820">
        <w:rPr>
          <w:rFonts w:ascii="Times New Roman" w:hAnsi="Times New Roman"/>
          <w:lang w:val="en-GB"/>
        </w:rPr>
        <w:t>In-line with decentralization</w:t>
      </w:r>
      <w:r w:rsidR="005305DD">
        <w:rPr>
          <w:rFonts w:ascii="Times New Roman" w:hAnsi="Times New Roman"/>
          <w:lang w:val="en-GB"/>
        </w:rPr>
        <w:t xml:space="preserve">, </w:t>
      </w:r>
      <w:r w:rsidR="00C8676C">
        <w:rPr>
          <w:rFonts w:ascii="Times New Roman" w:hAnsi="Times New Roman"/>
          <w:lang w:val="en-GB"/>
        </w:rPr>
        <w:t>in cooperation with MOA,</w:t>
      </w:r>
      <w:r w:rsidR="005305DD">
        <w:rPr>
          <w:rFonts w:ascii="Times New Roman" w:hAnsi="Times New Roman"/>
          <w:lang w:val="en-GB"/>
        </w:rPr>
        <w:t xml:space="preserve"> and increasingly overtime,</w:t>
      </w:r>
      <w:r w:rsidR="00C8676C">
        <w:rPr>
          <w:rFonts w:ascii="Times New Roman" w:hAnsi="Times New Roman"/>
          <w:lang w:val="en-GB"/>
        </w:rPr>
        <w:t xml:space="preserve"> </w:t>
      </w:r>
      <w:r w:rsidR="00233365">
        <w:rPr>
          <w:rFonts w:ascii="Times New Roman" w:hAnsi="Times New Roman"/>
          <w:lang w:val="en-GB"/>
        </w:rPr>
        <w:t>county authorities are expected to:</w:t>
      </w:r>
    </w:p>
    <w:p w:rsidR="0012047F" w:rsidRDefault="0012047F" w:rsidP="00ED3BAE">
      <w:pPr>
        <w:pStyle w:val="ListParagraph"/>
        <w:spacing w:after="0" w:line="240" w:lineRule="auto"/>
        <w:ind w:left="1080" w:hanging="360"/>
        <w:jc w:val="both"/>
        <w:rPr>
          <w:rFonts w:ascii="Times New Roman" w:hAnsi="Times New Roman"/>
          <w:lang w:val="en-GB"/>
        </w:rPr>
      </w:pPr>
    </w:p>
    <w:p w:rsidR="0012047F" w:rsidRDefault="003B63CB" w:rsidP="00ED3BAE">
      <w:pPr>
        <w:pStyle w:val="ListParagraph"/>
        <w:numPr>
          <w:ilvl w:val="1"/>
          <w:numId w:val="18"/>
        </w:numPr>
        <w:spacing w:after="0" w:line="240" w:lineRule="auto"/>
        <w:ind w:left="1080"/>
        <w:jc w:val="both"/>
        <w:rPr>
          <w:rFonts w:ascii="Times New Roman" w:hAnsi="Times New Roman"/>
          <w:lang w:val="en-GB"/>
        </w:rPr>
      </w:pPr>
      <w:r>
        <w:rPr>
          <w:rFonts w:ascii="Times New Roman" w:hAnsi="Times New Roman"/>
          <w:lang w:val="en-GB"/>
        </w:rPr>
        <w:t>Provi</w:t>
      </w:r>
      <w:r w:rsidR="005750F5">
        <w:rPr>
          <w:rFonts w:ascii="Times New Roman" w:hAnsi="Times New Roman"/>
          <w:lang w:val="en-GB"/>
        </w:rPr>
        <w:t>d</w:t>
      </w:r>
      <w:r w:rsidR="005305DD">
        <w:rPr>
          <w:rFonts w:ascii="Times New Roman" w:hAnsi="Times New Roman"/>
          <w:lang w:val="en-GB"/>
        </w:rPr>
        <w:t>e</w:t>
      </w:r>
      <w:r w:rsidR="005750F5">
        <w:rPr>
          <w:rFonts w:ascii="Times New Roman" w:hAnsi="Times New Roman"/>
          <w:lang w:val="en-GB"/>
        </w:rPr>
        <w:t xml:space="preserve"> </w:t>
      </w:r>
      <w:r>
        <w:rPr>
          <w:rFonts w:ascii="Times New Roman" w:hAnsi="Times New Roman"/>
          <w:lang w:val="en-GB"/>
        </w:rPr>
        <w:t>appropriate AEAS (including farmer group development) on all agriculture-related subject-matter.</w:t>
      </w:r>
    </w:p>
    <w:p w:rsidR="0012047F" w:rsidRDefault="003B63CB" w:rsidP="00ED3BAE">
      <w:pPr>
        <w:pStyle w:val="ListParagraph"/>
        <w:numPr>
          <w:ilvl w:val="1"/>
          <w:numId w:val="18"/>
        </w:numPr>
        <w:spacing w:after="0" w:line="240" w:lineRule="auto"/>
        <w:ind w:left="1080"/>
        <w:jc w:val="both"/>
        <w:rPr>
          <w:rFonts w:ascii="Times New Roman" w:hAnsi="Times New Roman"/>
          <w:lang w:val="en-GB"/>
        </w:rPr>
      </w:pPr>
      <w:r>
        <w:rPr>
          <w:rFonts w:ascii="Times New Roman" w:hAnsi="Times New Roman"/>
          <w:lang w:val="en-GB"/>
        </w:rPr>
        <w:t>Collaborat</w:t>
      </w:r>
      <w:r w:rsidR="005305DD">
        <w:rPr>
          <w:rFonts w:ascii="Times New Roman" w:hAnsi="Times New Roman"/>
          <w:lang w:val="en-GB"/>
        </w:rPr>
        <w:t>e</w:t>
      </w:r>
      <w:r>
        <w:rPr>
          <w:rFonts w:ascii="Times New Roman" w:hAnsi="Times New Roman"/>
          <w:lang w:val="en-GB"/>
        </w:rPr>
        <w:t xml:space="preserve"> in coordination of AEAS along with MOA.</w:t>
      </w:r>
    </w:p>
    <w:p w:rsidR="0012047F" w:rsidRDefault="003B63CB" w:rsidP="00ED3BAE">
      <w:pPr>
        <w:pStyle w:val="ListParagraph"/>
        <w:numPr>
          <w:ilvl w:val="1"/>
          <w:numId w:val="18"/>
        </w:numPr>
        <w:spacing w:after="0" w:line="240" w:lineRule="auto"/>
        <w:ind w:left="1080"/>
        <w:jc w:val="both"/>
        <w:rPr>
          <w:rFonts w:ascii="Times New Roman" w:hAnsi="Times New Roman"/>
          <w:lang w:val="en-GB"/>
        </w:rPr>
      </w:pPr>
      <w:r>
        <w:rPr>
          <w:rFonts w:ascii="Times New Roman" w:hAnsi="Times New Roman"/>
          <w:lang w:val="en-GB"/>
        </w:rPr>
        <w:t>Collaborat</w:t>
      </w:r>
      <w:r w:rsidR="005305DD">
        <w:rPr>
          <w:rFonts w:ascii="Times New Roman" w:hAnsi="Times New Roman"/>
          <w:lang w:val="en-GB"/>
        </w:rPr>
        <w:t>e</w:t>
      </w:r>
      <w:r>
        <w:rPr>
          <w:rFonts w:ascii="Times New Roman" w:hAnsi="Times New Roman"/>
          <w:lang w:val="en-GB"/>
        </w:rPr>
        <w:t xml:space="preserve"> in monitoring and evaluation of AEAS activities and projects along with MOA.</w:t>
      </w:r>
    </w:p>
    <w:p w:rsidR="0012047F" w:rsidRDefault="003B63CB" w:rsidP="00ED3BAE">
      <w:pPr>
        <w:pStyle w:val="ListParagraph"/>
        <w:numPr>
          <w:ilvl w:val="1"/>
          <w:numId w:val="18"/>
        </w:numPr>
        <w:spacing w:after="0" w:line="240" w:lineRule="auto"/>
        <w:ind w:left="1080"/>
        <w:jc w:val="both"/>
        <w:rPr>
          <w:rFonts w:ascii="Times New Roman" w:hAnsi="Times New Roman"/>
          <w:lang w:val="en-GB"/>
        </w:rPr>
      </w:pPr>
      <w:r>
        <w:rPr>
          <w:rFonts w:ascii="Times New Roman" w:hAnsi="Times New Roman"/>
          <w:lang w:val="en-GB"/>
        </w:rPr>
        <w:t>Develop</w:t>
      </w:r>
      <w:r w:rsidR="005750F5">
        <w:rPr>
          <w:rFonts w:ascii="Times New Roman" w:hAnsi="Times New Roman"/>
          <w:lang w:val="en-GB"/>
        </w:rPr>
        <w:t xml:space="preserve"> </w:t>
      </w:r>
      <w:r>
        <w:rPr>
          <w:rFonts w:ascii="Times New Roman" w:hAnsi="Times New Roman"/>
          <w:lang w:val="en-GB"/>
        </w:rPr>
        <w:t>human resources for AEAS at the county-level.</w:t>
      </w:r>
    </w:p>
    <w:p w:rsidR="008A7332" w:rsidRDefault="008A7332" w:rsidP="00ED3BAE">
      <w:pPr>
        <w:pStyle w:val="ListParagraph"/>
        <w:spacing w:after="0" w:line="240" w:lineRule="auto"/>
        <w:ind w:left="1080" w:hanging="360"/>
        <w:jc w:val="both"/>
        <w:rPr>
          <w:rFonts w:ascii="Times New Roman" w:hAnsi="Times New Roman"/>
          <w:lang w:val="en-GB"/>
        </w:rPr>
      </w:pPr>
    </w:p>
    <w:p w:rsidR="008A7332" w:rsidRPr="00420AA8" w:rsidRDefault="008A7332" w:rsidP="00ED3BAE">
      <w:pPr>
        <w:pStyle w:val="ListParagraph"/>
        <w:spacing w:after="0" w:line="240" w:lineRule="auto"/>
        <w:ind w:left="0"/>
        <w:jc w:val="both"/>
        <w:rPr>
          <w:rFonts w:ascii="Times New Roman" w:hAnsi="Times New Roman"/>
          <w:b/>
          <w:lang w:val="en-GB"/>
        </w:rPr>
      </w:pPr>
      <w:r w:rsidRPr="00420AA8">
        <w:rPr>
          <w:rFonts w:ascii="Times New Roman" w:hAnsi="Times New Roman"/>
          <w:b/>
          <w:lang w:val="en-GB"/>
        </w:rPr>
        <w:t>3.</w:t>
      </w:r>
      <w:r w:rsidR="00107B27">
        <w:rPr>
          <w:rFonts w:ascii="Times New Roman" w:hAnsi="Times New Roman"/>
          <w:b/>
          <w:lang w:val="en-GB"/>
        </w:rPr>
        <w:t>4</w:t>
      </w:r>
      <w:r w:rsidRPr="00420AA8">
        <w:rPr>
          <w:rFonts w:ascii="Times New Roman" w:hAnsi="Times New Roman"/>
          <w:b/>
          <w:lang w:val="en-GB"/>
        </w:rPr>
        <w:t>.2</w:t>
      </w:r>
      <w:r w:rsidRPr="00420AA8">
        <w:rPr>
          <w:rFonts w:ascii="Times New Roman" w:hAnsi="Times New Roman"/>
          <w:b/>
          <w:lang w:val="en-GB"/>
        </w:rPr>
        <w:tab/>
        <w:t>Private Sector</w:t>
      </w:r>
    </w:p>
    <w:p w:rsidR="00EA110A" w:rsidRDefault="00EA110A" w:rsidP="00ED3BAE">
      <w:pPr>
        <w:pStyle w:val="ListParagraph"/>
        <w:spacing w:after="0" w:line="240" w:lineRule="auto"/>
        <w:ind w:left="0"/>
        <w:jc w:val="both"/>
        <w:rPr>
          <w:rFonts w:ascii="Times New Roman" w:hAnsi="Times New Roman"/>
          <w:lang w:val="en-GB"/>
        </w:rPr>
      </w:pPr>
    </w:p>
    <w:p w:rsidR="00FA5F14" w:rsidRDefault="000E10AD" w:rsidP="00ED3BAE">
      <w:pPr>
        <w:pStyle w:val="ListParagraph"/>
        <w:numPr>
          <w:ilvl w:val="0"/>
          <w:numId w:val="19"/>
        </w:numPr>
        <w:spacing w:after="0" w:line="240" w:lineRule="auto"/>
        <w:jc w:val="both"/>
        <w:rPr>
          <w:rFonts w:ascii="Times New Roman" w:hAnsi="Times New Roman"/>
          <w:b/>
          <w:lang w:val="en-GB"/>
        </w:rPr>
      </w:pPr>
      <w:r w:rsidRPr="000E10AD">
        <w:rPr>
          <w:rFonts w:ascii="Times New Roman" w:hAnsi="Times New Roman"/>
          <w:b/>
          <w:i/>
          <w:lang w:val="en-GB"/>
        </w:rPr>
        <w:t>Agricultural Firms and Businesses</w:t>
      </w:r>
      <w:r w:rsidR="009A46B3">
        <w:rPr>
          <w:rFonts w:ascii="Times New Roman" w:hAnsi="Times New Roman"/>
          <w:b/>
          <w:lang w:val="en-GB"/>
        </w:rPr>
        <w:t xml:space="preserve"> </w:t>
      </w:r>
      <w:r w:rsidR="005305DD" w:rsidRPr="006A1F54">
        <w:rPr>
          <w:rFonts w:ascii="Times New Roman" w:hAnsi="Times New Roman"/>
          <w:lang w:val="en-GB"/>
        </w:rPr>
        <w:t xml:space="preserve">responsibilities </w:t>
      </w:r>
      <w:r w:rsidR="009A46B3">
        <w:rPr>
          <w:rFonts w:ascii="Times New Roman" w:hAnsi="Times New Roman"/>
          <w:lang w:val="en-GB"/>
        </w:rPr>
        <w:t>are</w:t>
      </w:r>
      <w:r w:rsidR="005305DD">
        <w:rPr>
          <w:rFonts w:ascii="Times New Roman" w:hAnsi="Times New Roman"/>
          <w:lang w:val="en-GB"/>
        </w:rPr>
        <w:t xml:space="preserve"> to: </w:t>
      </w:r>
    </w:p>
    <w:p w:rsidR="0012047F" w:rsidRDefault="0012047F" w:rsidP="00ED3BAE">
      <w:pPr>
        <w:spacing w:after="0" w:line="240" w:lineRule="auto"/>
        <w:jc w:val="both"/>
        <w:rPr>
          <w:rFonts w:ascii="Times New Roman" w:hAnsi="Times New Roman"/>
          <w:lang w:val="en-GB"/>
        </w:rPr>
      </w:pPr>
    </w:p>
    <w:p w:rsidR="0012047F" w:rsidRDefault="00C0180F" w:rsidP="00ED3BAE">
      <w:pPr>
        <w:pStyle w:val="ListParagraph"/>
        <w:numPr>
          <w:ilvl w:val="0"/>
          <w:numId w:val="20"/>
        </w:numPr>
        <w:spacing w:after="0" w:line="240" w:lineRule="auto"/>
        <w:jc w:val="both"/>
        <w:rPr>
          <w:rFonts w:ascii="Times New Roman" w:hAnsi="Times New Roman"/>
          <w:lang w:val="en-GB"/>
        </w:rPr>
      </w:pPr>
      <w:r>
        <w:rPr>
          <w:rFonts w:ascii="Times New Roman" w:hAnsi="Times New Roman"/>
          <w:lang w:val="en-GB"/>
        </w:rPr>
        <w:t>Supply and distribute a</w:t>
      </w:r>
      <w:r w:rsidR="009A46B3">
        <w:rPr>
          <w:rFonts w:ascii="Times New Roman" w:hAnsi="Times New Roman"/>
          <w:lang w:val="en-GB"/>
        </w:rPr>
        <w:t>gricultural input</w:t>
      </w:r>
      <w:r>
        <w:rPr>
          <w:rFonts w:ascii="Times New Roman" w:hAnsi="Times New Roman"/>
          <w:lang w:val="en-GB"/>
        </w:rPr>
        <w:t>s</w:t>
      </w:r>
      <w:r w:rsidR="009A46B3">
        <w:rPr>
          <w:rFonts w:ascii="Times New Roman" w:hAnsi="Times New Roman"/>
          <w:lang w:val="en-GB"/>
        </w:rPr>
        <w:t xml:space="preserve"> incl</w:t>
      </w:r>
      <w:r w:rsidR="00576228">
        <w:rPr>
          <w:rFonts w:ascii="Times New Roman" w:hAnsi="Times New Roman"/>
          <w:lang w:val="en-GB"/>
        </w:rPr>
        <w:t>uding embedding AEAS as part of product promotion</w:t>
      </w:r>
      <w:r w:rsidR="009A46B3">
        <w:rPr>
          <w:rFonts w:ascii="Times New Roman" w:hAnsi="Times New Roman"/>
          <w:lang w:val="en-GB"/>
        </w:rPr>
        <w:t>.</w:t>
      </w:r>
    </w:p>
    <w:p w:rsidR="0012047F" w:rsidRDefault="00576228" w:rsidP="00ED3BAE">
      <w:pPr>
        <w:pStyle w:val="ListParagraph"/>
        <w:numPr>
          <w:ilvl w:val="0"/>
          <w:numId w:val="20"/>
        </w:numPr>
        <w:spacing w:after="0" w:line="240" w:lineRule="auto"/>
        <w:jc w:val="both"/>
        <w:rPr>
          <w:rFonts w:ascii="Times New Roman" w:hAnsi="Times New Roman"/>
          <w:lang w:val="en-GB"/>
        </w:rPr>
      </w:pPr>
      <w:r>
        <w:rPr>
          <w:rFonts w:ascii="Times New Roman" w:hAnsi="Times New Roman"/>
          <w:lang w:val="en-GB"/>
        </w:rPr>
        <w:t>Produc</w:t>
      </w:r>
      <w:r w:rsidR="00C0180F">
        <w:rPr>
          <w:rFonts w:ascii="Times New Roman" w:hAnsi="Times New Roman"/>
          <w:lang w:val="en-GB"/>
        </w:rPr>
        <w:t>e</w:t>
      </w:r>
      <w:r>
        <w:rPr>
          <w:rFonts w:ascii="Times New Roman" w:hAnsi="Times New Roman"/>
          <w:lang w:val="en-GB"/>
        </w:rPr>
        <w:t xml:space="preserve"> </w:t>
      </w:r>
      <w:r w:rsidR="009A46B3">
        <w:rPr>
          <w:rFonts w:ascii="Times New Roman" w:hAnsi="Times New Roman"/>
          <w:lang w:val="en-GB"/>
        </w:rPr>
        <w:t xml:space="preserve">commercial seeds, seedlings, cuttings, </w:t>
      </w:r>
      <w:r>
        <w:rPr>
          <w:rFonts w:ascii="Times New Roman" w:hAnsi="Times New Roman"/>
          <w:lang w:val="en-GB"/>
        </w:rPr>
        <w:t xml:space="preserve">and other planting materials </w:t>
      </w:r>
      <w:r w:rsidR="009A46B3">
        <w:rPr>
          <w:rFonts w:ascii="Times New Roman" w:hAnsi="Times New Roman"/>
          <w:lang w:val="en-GB"/>
        </w:rPr>
        <w:t>under government certification and quality control.</w:t>
      </w:r>
    </w:p>
    <w:p w:rsidR="0012047F" w:rsidRDefault="00C8676C" w:rsidP="00ED3BAE">
      <w:pPr>
        <w:pStyle w:val="ListParagraph"/>
        <w:numPr>
          <w:ilvl w:val="0"/>
          <w:numId w:val="20"/>
        </w:numPr>
        <w:spacing w:after="0" w:line="240" w:lineRule="auto"/>
        <w:jc w:val="both"/>
        <w:rPr>
          <w:rFonts w:ascii="Times New Roman" w:hAnsi="Times New Roman"/>
          <w:lang w:val="en-GB"/>
        </w:rPr>
      </w:pPr>
      <w:r>
        <w:rPr>
          <w:rFonts w:ascii="Times New Roman" w:hAnsi="Times New Roman"/>
          <w:lang w:val="en-GB"/>
        </w:rPr>
        <w:t>Increas</w:t>
      </w:r>
      <w:r w:rsidR="00C0180F">
        <w:rPr>
          <w:rFonts w:ascii="Times New Roman" w:hAnsi="Times New Roman"/>
          <w:lang w:val="en-GB"/>
        </w:rPr>
        <w:t>e</w:t>
      </w:r>
      <w:r>
        <w:rPr>
          <w:rFonts w:ascii="Times New Roman" w:hAnsi="Times New Roman"/>
          <w:lang w:val="en-GB"/>
        </w:rPr>
        <w:t xml:space="preserve"> the availability of agriculture equipment, particularly labor-saving equipment for use by farmers</w:t>
      </w:r>
      <w:r w:rsidR="00785BDE">
        <w:rPr>
          <w:rFonts w:ascii="Times New Roman" w:hAnsi="Times New Roman"/>
          <w:lang w:val="en-GB"/>
        </w:rPr>
        <w:t>, processors, and others</w:t>
      </w:r>
      <w:r>
        <w:rPr>
          <w:rFonts w:ascii="Times New Roman" w:hAnsi="Times New Roman"/>
          <w:lang w:val="en-GB"/>
        </w:rPr>
        <w:t>.</w:t>
      </w:r>
    </w:p>
    <w:p w:rsidR="0012047F" w:rsidRDefault="00576228" w:rsidP="00ED3BAE">
      <w:pPr>
        <w:pStyle w:val="ListParagraph"/>
        <w:numPr>
          <w:ilvl w:val="0"/>
          <w:numId w:val="20"/>
        </w:numPr>
        <w:spacing w:after="0" w:line="240" w:lineRule="auto"/>
        <w:jc w:val="both"/>
        <w:rPr>
          <w:rFonts w:ascii="Times New Roman" w:hAnsi="Times New Roman"/>
          <w:lang w:val="en-GB"/>
        </w:rPr>
      </w:pPr>
      <w:r>
        <w:rPr>
          <w:rFonts w:ascii="Times New Roman" w:hAnsi="Times New Roman"/>
          <w:lang w:val="en-GB"/>
        </w:rPr>
        <w:t>Provid</w:t>
      </w:r>
      <w:r w:rsidR="00C0180F">
        <w:rPr>
          <w:rFonts w:ascii="Times New Roman" w:hAnsi="Times New Roman"/>
          <w:lang w:val="en-GB"/>
        </w:rPr>
        <w:t>e</w:t>
      </w:r>
      <w:r>
        <w:rPr>
          <w:rFonts w:ascii="Times New Roman" w:hAnsi="Times New Roman"/>
          <w:lang w:val="en-GB"/>
        </w:rPr>
        <w:t xml:space="preserve"> appropriate </w:t>
      </w:r>
      <w:r w:rsidR="009A46B3">
        <w:rPr>
          <w:rFonts w:ascii="Times New Roman" w:hAnsi="Times New Roman"/>
          <w:lang w:val="en-GB"/>
        </w:rPr>
        <w:t>AEAS to clients able to meet private sector requirements.</w:t>
      </w:r>
    </w:p>
    <w:p w:rsidR="0012047F" w:rsidRDefault="009A46B3" w:rsidP="00ED3BAE">
      <w:pPr>
        <w:pStyle w:val="ListParagraph"/>
        <w:numPr>
          <w:ilvl w:val="0"/>
          <w:numId w:val="20"/>
        </w:numPr>
        <w:spacing w:after="0" w:line="240" w:lineRule="auto"/>
        <w:jc w:val="both"/>
        <w:rPr>
          <w:rFonts w:ascii="Times New Roman" w:hAnsi="Times New Roman"/>
          <w:lang w:val="en-GB"/>
        </w:rPr>
      </w:pPr>
      <w:r>
        <w:rPr>
          <w:rFonts w:ascii="Times New Roman" w:hAnsi="Times New Roman"/>
          <w:lang w:val="en-GB"/>
        </w:rPr>
        <w:t>Participat</w:t>
      </w:r>
      <w:r w:rsidR="00C0180F">
        <w:rPr>
          <w:rFonts w:ascii="Times New Roman" w:hAnsi="Times New Roman"/>
          <w:lang w:val="en-GB"/>
        </w:rPr>
        <w:t>e</w:t>
      </w:r>
      <w:r>
        <w:rPr>
          <w:rFonts w:ascii="Times New Roman" w:hAnsi="Times New Roman"/>
          <w:lang w:val="en-GB"/>
        </w:rPr>
        <w:t xml:space="preserve"> actively in AEAS platforms and coordinating bodies and meetings.</w:t>
      </w:r>
    </w:p>
    <w:p w:rsidR="00420AA8" w:rsidRDefault="00420AA8" w:rsidP="00ED3BAE">
      <w:pPr>
        <w:pStyle w:val="ListParagraph"/>
        <w:spacing w:after="0" w:line="240" w:lineRule="auto"/>
        <w:ind w:left="0"/>
        <w:jc w:val="both"/>
        <w:rPr>
          <w:rFonts w:ascii="Times New Roman" w:hAnsi="Times New Roman"/>
          <w:lang w:val="en-GB"/>
        </w:rPr>
      </w:pPr>
    </w:p>
    <w:p w:rsidR="00785BDE" w:rsidRPr="00785BDE" w:rsidRDefault="000E10AD" w:rsidP="00ED3BAE">
      <w:pPr>
        <w:pStyle w:val="ListParagraph"/>
        <w:numPr>
          <w:ilvl w:val="0"/>
          <w:numId w:val="19"/>
        </w:numPr>
        <w:spacing w:after="0" w:line="240" w:lineRule="auto"/>
        <w:jc w:val="both"/>
        <w:rPr>
          <w:rFonts w:ascii="Times New Roman" w:hAnsi="Times New Roman"/>
          <w:lang w:val="en-GB"/>
        </w:rPr>
      </w:pPr>
      <w:r w:rsidRPr="000E10AD">
        <w:rPr>
          <w:rFonts w:ascii="Times New Roman" w:hAnsi="Times New Roman"/>
          <w:b/>
          <w:i/>
          <w:lang w:val="en-GB"/>
        </w:rPr>
        <w:t>Women, Men, and Young Farmers and their organizations</w:t>
      </w:r>
      <w:r w:rsidR="005750F5">
        <w:rPr>
          <w:rFonts w:ascii="Times New Roman" w:hAnsi="Times New Roman"/>
          <w:b/>
          <w:lang w:val="en-GB"/>
        </w:rPr>
        <w:t xml:space="preserve">.  </w:t>
      </w:r>
    </w:p>
    <w:p w:rsidR="00785BDE" w:rsidRPr="00785BDE" w:rsidRDefault="00785BDE" w:rsidP="00ED3BAE">
      <w:pPr>
        <w:pStyle w:val="ListParagraph"/>
        <w:spacing w:after="0" w:line="240" w:lineRule="auto"/>
        <w:jc w:val="both"/>
        <w:rPr>
          <w:rFonts w:ascii="Times New Roman" w:hAnsi="Times New Roman"/>
          <w:lang w:val="en-GB"/>
        </w:rPr>
      </w:pPr>
    </w:p>
    <w:p w:rsidR="0012047F" w:rsidRDefault="005750F5" w:rsidP="00ED3BAE">
      <w:pPr>
        <w:pStyle w:val="ListParagraph"/>
        <w:spacing w:after="0" w:line="240" w:lineRule="auto"/>
        <w:jc w:val="both"/>
        <w:rPr>
          <w:rFonts w:ascii="Times New Roman" w:hAnsi="Times New Roman"/>
          <w:lang w:val="en-GB"/>
        </w:rPr>
      </w:pPr>
      <w:r>
        <w:rPr>
          <w:rFonts w:ascii="Times New Roman" w:hAnsi="Times New Roman"/>
          <w:lang w:val="en-GB"/>
        </w:rPr>
        <w:t>While farmers and their organizations are expected to benefit from AEAS, their critical role is also that of clients, sponsor</w:t>
      </w:r>
      <w:r w:rsidR="00BC4EB9">
        <w:rPr>
          <w:rFonts w:ascii="Times New Roman" w:hAnsi="Times New Roman"/>
          <w:lang w:val="en-GB"/>
        </w:rPr>
        <w:t>s</w:t>
      </w:r>
      <w:r>
        <w:rPr>
          <w:rFonts w:ascii="Times New Roman" w:hAnsi="Times New Roman"/>
          <w:lang w:val="en-GB"/>
        </w:rPr>
        <w:t>, and stakeholder</w:t>
      </w:r>
      <w:r w:rsidR="00BC4EB9">
        <w:rPr>
          <w:rFonts w:ascii="Times New Roman" w:hAnsi="Times New Roman"/>
          <w:lang w:val="en-GB"/>
        </w:rPr>
        <w:t>s</w:t>
      </w:r>
      <w:r>
        <w:rPr>
          <w:rFonts w:ascii="Times New Roman" w:hAnsi="Times New Roman"/>
          <w:lang w:val="en-GB"/>
        </w:rPr>
        <w:t xml:space="preserve"> of AEAS.  T</w:t>
      </w:r>
      <w:r w:rsidR="00021426">
        <w:rPr>
          <w:rFonts w:ascii="Times New Roman" w:hAnsi="Times New Roman"/>
          <w:lang w:val="en-GB"/>
        </w:rPr>
        <w:t>hey are active essential partners</w:t>
      </w:r>
      <w:r>
        <w:rPr>
          <w:rFonts w:ascii="Times New Roman" w:hAnsi="Times New Roman"/>
          <w:lang w:val="en-GB"/>
        </w:rPr>
        <w:t xml:space="preserve"> with a </w:t>
      </w:r>
      <w:r w:rsidR="00021426">
        <w:rPr>
          <w:rFonts w:ascii="Times New Roman" w:hAnsi="Times New Roman"/>
          <w:lang w:val="en-GB"/>
        </w:rPr>
        <w:t xml:space="preserve">highly </w:t>
      </w:r>
      <w:r>
        <w:rPr>
          <w:rFonts w:ascii="Times New Roman" w:hAnsi="Times New Roman"/>
          <w:lang w:val="en-GB"/>
        </w:rPr>
        <w:t xml:space="preserve">significant stake in the outcomes of AEAS.  To that end, their </w:t>
      </w:r>
      <w:r w:rsidR="00C0180F">
        <w:rPr>
          <w:rFonts w:ascii="Times New Roman" w:hAnsi="Times New Roman"/>
          <w:lang w:val="en-GB"/>
        </w:rPr>
        <w:t xml:space="preserve">major </w:t>
      </w:r>
      <w:r>
        <w:rPr>
          <w:rFonts w:ascii="Times New Roman" w:hAnsi="Times New Roman"/>
          <w:lang w:val="en-GB"/>
        </w:rPr>
        <w:t xml:space="preserve">roles </w:t>
      </w:r>
      <w:r w:rsidR="00C0180F">
        <w:rPr>
          <w:rFonts w:ascii="Times New Roman" w:hAnsi="Times New Roman"/>
          <w:lang w:val="en-GB"/>
        </w:rPr>
        <w:t>are to</w:t>
      </w:r>
      <w:r>
        <w:rPr>
          <w:rFonts w:ascii="Times New Roman" w:hAnsi="Times New Roman"/>
          <w:lang w:val="en-GB"/>
        </w:rPr>
        <w:t>:</w:t>
      </w:r>
    </w:p>
    <w:p w:rsidR="00785BDE" w:rsidRDefault="00785BDE" w:rsidP="00ED3BAE">
      <w:pPr>
        <w:pStyle w:val="ListParagraph"/>
        <w:spacing w:after="0" w:line="240" w:lineRule="auto"/>
        <w:jc w:val="both"/>
        <w:rPr>
          <w:rFonts w:ascii="Times New Roman" w:hAnsi="Times New Roman"/>
          <w:lang w:val="en-GB"/>
        </w:rPr>
      </w:pPr>
    </w:p>
    <w:p w:rsidR="0012047F" w:rsidRDefault="000E72BF"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Becom</w:t>
      </w:r>
      <w:r w:rsidR="00C0180F">
        <w:rPr>
          <w:rFonts w:ascii="Times New Roman" w:hAnsi="Times New Roman"/>
          <w:lang w:val="en-GB"/>
        </w:rPr>
        <w:t>e</w:t>
      </w:r>
      <w:r>
        <w:rPr>
          <w:rFonts w:ascii="Times New Roman" w:hAnsi="Times New Roman"/>
          <w:lang w:val="en-GB"/>
        </w:rPr>
        <w:t xml:space="preserve"> increasingly proactive in their working relationships with public, private, and civil society sector AEAS.</w:t>
      </w:r>
    </w:p>
    <w:p w:rsidR="0012047F" w:rsidRDefault="003D4D9D"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Collaborat</w:t>
      </w:r>
      <w:r w:rsidR="00C0180F">
        <w:rPr>
          <w:rFonts w:ascii="Times New Roman" w:hAnsi="Times New Roman"/>
          <w:lang w:val="en-GB"/>
        </w:rPr>
        <w:t>e</w:t>
      </w:r>
      <w:r w:rsidR="005750F5" w:rsidRPr="009A46B3">
        <w:rPr>
          <w:rFonts w:ascii="Times New Roman" w:hAnsi="Times New Roman"/>
          <w:lang w:val="en-GB"/>
        </w:rPr>
        <w:t xml:space="preserve"> in coordination of AEAS along with MOA.</w:t>
      </w:r>
    </w:p>
    <w:p w:rsidR="0012047F" w:rsidRDefault="003B63CB"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Collaborat</w:t>
      </w:r>
      <w:r w:rsidR="00C0180F">
        <w:rPr>
          <w:rFonts w:ascii="Times New Roman" w:hAnsi="Times New Roman"/>
          <w:lang w:val="en-GB"/>
        </w:rPr>
        <w:t>e</w:t>
      </w:r>
      <w:r>
        <w:rPr>
          <w:rFonts w:ascii="Times New Roman" w:hAnsi="Times New Roman"/>
          <w:lang w:val="en-GB"/>
        </w:rPr>
        <w:t xml:space="preserve"> in monitoring and evaluation of AEAS activities and projects along with MOA</w:t>
      </w:r>
      <w:r w:rsidR="005750F5">
        <w:rPr>
          <w:rFonts w:ascii="Times New Roman" w:hAnsi="Times New Roman"/>
          <w:lang w:val="en-GB"/>
        </w:rPr>
        <w:t>.</w:t>
      </w:r>
    </w:p>
    <w:p w:rsidR="0012047F" w:rsidRDefault="005750F5"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Participat</w:t>
      </w:r>
      <w:r w:rsidR="00C0180F">
        <w:rPr>
          <w:rFonts w:ascii="Times New Roman" w:hAnsi="Times New Roman"/>
          <w:lang w:val="en-GB"/>
        </w:rPr>
        <w:t>e</w:t>
      </w:r>
      <w:r>
        <w:rPr>
          <w:rFonts w:ascii="Times New Roman" w:hAnsi="Times New Roman"/>
          <w:lang w:val="en-GB"/>
        </w:rPr>
        <w:t xml:space="preserve"> actively in AEAS platforms and coordinating bodies and meetings</w:t>
      </w:r>
      <w:r w:rsidR="003D4D9D">
        <w:rPr>
          <w:rFonts w:ascii="Times New Roman" w:hAnsi="Times New Roman"/>
          <w:lang w:val="en-GB"/>
        </w:rPr>
        <w:t>.</w:t>
      </w:r>
    </w:p>
    <w:p w:rsidR="0012047F" w:rsidRDefault="003D4D9D"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 xml:space="preserve">Convey their AEAS needs to appropriate levels of AEAS </w:t>
      </w:r>
      <w:r w:rsidR="000E72BF">
        <w:rPr>
          <w:rFonts w:ascii="Times New Roman" w:hAnsi="Times New Roman"/>
          <w:lang w:val="en-GB"/>
        </w:rPr>
        <w:t xml:space="preserve">facilitators and </w:t>
      </w:r>
      <w:r>
        <w:rPr>
          <w:rFonts w:ascii="Times New Roman" w:hAnsi="Times New Roman"/>
          <w:lang w:val="en-GB"/>
        </w:rPr>
        <w:t>providers</w:t>
      </w:r>
      <w:r w:rsidR="00BC4EB9">
        <w:rPr>
          <w:rFonts w:ascii="Times New Roman" w:hAnsi="Times New Roman"/>
          <w:lang w:val="en-GB"/>
        </w:rPr>
        <w:t xml:space="preserve"> in order to establish </w:t>
      </w:r>
      <w:r w:rsidR="001F2008">
        <w:rPr>
          <w:rFonts w:ascii="Times New Roman" w:hAnsi="Times New Roman"/>
          <w:lang w:val="en-GB"/>
        </w:rPr>
        <w:t>AEAS activities</w:t>
      </w:r>
      <w:r w:rsidR="00785BDE">
        <w:rPr>
          <w:rFonts w:ascii="Times New Roman" w:hAnsi="Times New Roman"/>
          <w:lang w:val="en-GB"/>
        </w:rPr>
        <w:t>, projects,</w:t>
      </w:r>
      <w:r w:rsidR="001F2008">
        <w:rPr>
          <w:rFonts w:ascii="Times New Roman" w:hAnsi="Times New Roman"/>
          <w:lang w:val="en-GB"/>
        </w:rPr>
        <w:t xml:space="preserve"> and programs that are farmer-driven</w:t>
      </w:r>
      <w:r>
        <w:rPr>
          <w:rFonts w:ascii="Times New Roman" w:hAnsi="Times New Roman"/>
          <w:lang w:val="en-GB"/>
        </w:rPr>
        <w:t>.</w:t>
      </w:r>
    </w:p>
    <w:p w:rsidR="0012047F" w:rsidRDefault="003D4D9D"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Apply AEAS information, advice, and improved technologies and practices to their agricultural operations and provid</w:t>
      </w:r>
      <w:r w:rsidR="00C0180F">
        <w:rPr>
          <w:rFonts w:ascii="Times New Roman" w:hAnsi="Times New Roman"/>
          <w:lang w:val="en-GB"/>
        </w:rPr>
        <w:t>e</w:t>
      </w:r>
      <w:r>
        <w:rPr>
          <w:rFonts w:ascii="Times New Roman" w:hAnsi="Times New Roman"/>
          <w:lang w:val="en-GB"/>
        </w:rPr>
        <w:t xml:space="preserve"> feedback to AEAS providers, researchers, and other stakeholders on outcomes of such application.</w:t>
      </w:r>
    </w:p>
    <w:p w:rsidR="0012047F" w:rsidRDefault="003D4D9D"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Manag</w:t>
      </w:r>
      <w:r w:rsidR="00C0180F">
        <w:rPr>
          <w:rFonts w:ascii="Times New Roman" w:hAnsi="Times New Roman"/>
          <w:lang w:val="en-GB"/>
        </w:rPr>
        <w:t>e</w:t>
      </w:r>
      <w:r>
        <w:rPr>
          <w:rFonts w:ascii="Times New Roman" w:hAnsi="Times New Roman"/>
          <w:lang w:val="en-GB"/>
        </w:rPr>
        <w:t xml:space="preserve"> on-farm testing and demonstration of improved technologies and practices.</w:t>
      </w:r>
    </w:p>
    <w:p w:rsidR="0012047F" w:rsidRDefault="003D4D9D"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Progressively demonstrat</w:t>
      </w:r>
      <w:r w:rsidR="00C0180F">
        <w:rPr>
          <w:rFonts w:ascii="Times New Roman" w:hAnsi="Times New Roman"/>
          <w:lang w:val="en-GB"/>
        </w:rPr>
        <w:t>e</w:t>
      </w:r>
      <w:r>
        <w:rPr>
          <w:rFonts w:ascii="Times New Roman" w:hAnsi="Times New Roman"/>
          <w:lang w:val="en-GB"/>
        </w:rPr>
        <w:t xml:space="preserve"> financial commitment to AEAS through graduated contributions costs of AEAS.</w:t>
      </w:r>
    </w:p>
    <w:p w:rsidR="0012047F" w:rsidRDefault="00BC4EB9" w:rsidP="00ED3BAE">
      <w:pPr>
        <w:pStyle w:val="ListParagraph"/>
        <w:numPr>
          <w:ilvl w:val="0"/>
          <w:numId w:val="22"/>
        </w:numPr>
        <w:spacing w:after="0" w:line="240" w:lineRule="auto"/>
        <w:jc w:val="both"/>
        <w:rPr>
          <w:rFonts w:ascii="Times New Roman" w:hAnsi="Times New Roman"/>
          <w:lang w:val="en-GB"/>
        </w:rPr>
      </w:pPr>
      <w:r>
        <w:rPr>
          <w:rFonts w:ascii="Times New Roman" w:hAnsi="Times New Roman"/>
          <w:lang w:val="en-GB"/>
        </w:rPr>
        <w:t>E</w:t>
      </w:r>
      <w:r w:rsidR="003D4D9D">
        <w:rPr>
          <w:rFonts w:ascii="Times New Roman" w:hAnsi="Times New Roman"/>
          <w:lang w:val="en-GB"/>
        </w:rPr>
        <w:t>stablish</w:t>
      </w:r>
      <w:r>
        <w:rPr>
          <w:rFonts w:ascii="Times New Roman" w:hAnsi="Times New Roman"/>
          <w:lang w:val="en-GB"/>
        </w:rPr>
        <w:t xml:space="preserve"> and manag</w:t>
      </w:r>
      <w:r w:rsidR="00C0180F">
        <w:rPr>
          <w:rFonts w:ascii="Times New Roman" w:hAnsi="Times New Roman"/>
          <w:lang w:val="en-GB"/>
        </w:rPr>
        <w:t>e</w:t>
      </w:r>
      <w:r w:rsidR="003D4D9D">
        <w:rPr>
          <w:rFonts w:ascii="Times New Roman" w:hAnsi="Times New Roman"/>
          <w:lang w:val="en-GB"/>
        </w:rPr>
        <w:t xml:space="preserve"> their</w:t>
      </w:r>
      <w:r w:rsidR="00785BDE">
        <w:rPr>
          <w:rFonts w:ascii="Times New Roman" w:hAnsi="Times New Roman"/>
          <w:lang w:val="en-GB"/>
        </w:rPr>
        <w:t xml:space="preserve"> </w:t>
      </w:r>
      <w:r w:rsidR="003D4D9D">
        <w:rPr>
          <w:rFonts w:ascii="Times New Roman" w:hAnsi="Times New Roman"/>
          <w:lang w:val="en-GB"/>
        </w:rPr>
        <w:t>own AEAS.</w:t>
      </w:r>
    </w:p>
    <w:p w:rsidR="009C30B5" w:rsidRDefault="009C30B5" w:rsidP="00ED3BAE">
      <w:pPr>
        <w:pStyle w:val="ListParagraph"/>
        <w:spacing w:after="0" w:line="240" w:lineRule="auto"/>
        <w:ind w:left="0"/>
        <w:jc w:val="both"/>
        <w:rPr>
          <w:rFonts w:ascii="Times New Roman" w:hAnsi="Times New Roman"/>
          <w:lang w:val="en-GB"/>
        </w:rPr>
      </w:pPr>
    </w:p>
    <w:p w:rsidR="008A7332" w:rsidRPr="00420AA8" w:rsidRDefault="008A7332" w:rsidP="00ED3BAE">
      <w:pPr>
        <w:pStyle w:val="ListParagraph"/>
        <w:spacing w:after="0" w:line="240" w:lineRule="auto"/>
        <w:ind w:left="0"/>
        <w:jc w:val="both"/>
        <w:rPr>
          <w:rFonts w:ascii="Times New Roman" w:hAnsi="Times New Roman"/>
          <w:b/>
          <w:lang w:val="en-GB"/>
        </w:rPr>
      </w:pPr>
      <w:r w:rsidRPr="00420AA8">
        <w:rPr>
          <w:rFonts w:ascii="Times New Roman" w:hAnsi="Times New Roman"/>
          <w:b/>
          <w:lang w:val="en-GB"/>
        </w:rPr>
        <w:t>3.</w:t>
      </w:r>
      <w:r w:rsidR="00107B27">
        <w:rPr>
          <w:rFonts w:ascii="Times New Roman" w:hAnsi="Times New Roman"/>
          <w:b/>
          <w:lang w:val="en-GB"/>
        </w:rPr>
        <w:t>4</w:t>
      </w:r>
      <w:r w:rsidRPr="00420AA8">
        <w:rPr>
          <w:rFonts w:ascii="Times New Roman" w:hAnsi="Times New Roman"/>
          <w:b/>
          <w:lang w:val="en-GB"/>
        </w:rPr>
        <w:t>.3</w:t>
      </w:r>
      <w:r w:rsidRPr="00420AA8">
        <w:rPr>
          <w:rFonts w:ascii="Times New Roman" w:hAnsi="Times New Roman"/>
          <w:b/>
          <w:lang w:val="en-GB"/>
        </w:rPr>
        <w:tab/>
        <w:t>Civil Society Sector</w:t>
      </w:r>
    </w:p>
    <w:p w:rsidR="00420AA8" w:rsidRDefault="00420AA8" w:rsidP="00ED3BAE">
      <w:pPr>
        <w:pStyle w:val="ListParagraph"/>
        <w:spacing w:after="0" w:line="240" w:lineRule="auto"/>
        <w:ind w:left="0"/>
        <w:jc w:val="both"/>
        <w:rPr>
          <w:rFonts w:ascii="Times New Roman" w:hAnsi="Times New Roman"/>
          <w:lang w:val="en-GB"/>
        </w:rPr>
      </w:pPr>
    </w:p>
    <w:p w:rsidR="00261C26" w:rsidRDefault="005274B4" w:rsidP="00ED3BAE">
      <w:pPr>
        <w:pStyle w:val="ListParagraph"/>
        <w:numPr>
          <w:ilvl w:val="0"/>
          <w:numId w:val="17"/>
        </w:numPr>
        <w:spacing w:after="0" w:line="240" w:lineRule="auto"/>
        <w:ind w:left="720"/>
        <w:jc w:val="both"/>
        <w:rPr>
          <w:rFonts w:ascii="Times New Roman" w:hAnsi="Times New Roman"/>
        </w:rPr>
      </w:pPr>
      <w:r>
        <w:rPr>
          <w:rFonts w:ascii="Times New Roman" w:hAnsi="Times New Roman"/>
          <w:b/>
          <w:i/>
          <w:lang w:val="en-GB"/>
        </w:rPr>
        <w:t xml:space="preserve">International and Local </w:t>
      </w:r>
      <w:r w:rsidR="000E10AD" w:rsidRPr="000E10AD">
        <w:rPr>
          <w:rFonts w:ascii="Times New Roman" w:hAnsi="Times New Roman"/>
          <w:b/>
          <w:i/>
          <w:lang w:val="en-GB"/>
        </w:rPr>
        <w:t>NGOs</w:t>
      </w:r>
      <w:r>
        <w:rPr>
          <w:rFonts w:ascii="Times New Roman" w:hAnsi="Times New Roman"/>
          <w:b/>
          <w:i/>
          <w:lang w:val="en-GB"/>
        </w:rPr>
        <w:t xml:space="preserve"> and Community-Based Organizations (CBO)</w:t>
      </w:r>
      <w:r w:rsidR="000E10AD" w:rsidRPr="000E10AD">
        <w:rPr>
          <w:rFonts w:ascii="Times New Roman" w:hAnsi="Times New Roman"/>
          <w:i/>
          <w:lang w:val="en-GB"/>
        </w:rPr>
        <w:t>.</w:t>
      </w:r>
      <w:r w:rsidR="001F2008">
        <w:rPr>
          <w:rFonts w:ascii="Times New Roman" w:hAnsi="Times New Roman"/>
          <w:lang w:val="en-GB"/>
        </w:rPr>
        <w:t xml:space="preserve">  </w:t>
      </w:r>
      <w:r w:rsidR="00A108C7">
        <w:rPr>
          <w:rFonts w:ascii="Times New Roman" w:hAnsi="Times New Roman"/>
          <w:lang w:val="en-GB"/>
        </w:rPr>
        <w:t>Working collaboratively with the MOA, t</w:t>
      </w:r>
      <w:r w:rsidR="000737D3">
        <w:rPr>
          <w:rFonts w:ascii="Times New Roman" w:hAnsi="Times New Roman"/>
          <w:lang w:val="en-GB"/>
        </w:rPr>
        <w:t xml:space="preserve">he primary roles of NGOs </w:t>
      </w:r>
      <w:r>
        <w:rPr>
          <w:rFonts w:ascii="Times New Roman" w:hAnsi="Times New Roman"/>
          <w:lang w:val="en-GB"/>
        </w:rPr>
        <w:t xml:space="preserve">and CBOs </w:t>
      </w:r>
      <w:r w:rsidR="000737D3">
        <w:rPr>
          <w:rFonts w:ascii="Times New Roman" w:hAnsi="Times New Roman"/>
          <w:lang w:val="en-GB"/>
        </w:rPr>
        <w:t>are</w:t>
      </w:r>
      <w:r w:rsidR="00C0180F">
        <w:rPr>
          <w:rFonts w:ascii="Times New Roman" w:hAnsi="Times New Roman"/>
          <w:lang w:val="en-GB"/>
        </w:rPr>
        <w:t xml:space="preserve"> to</w:t>
      </w:r>
      <w:r w:rsidR="00C205BC">
        <w:rPr>
          <w:rFonts w:ascii="Times New Roman" w:hAnsi="Times New Roman"/>
          <w:lang w:val="en-GB"/>
        </w:rPr>
        <w:t>:</w:t>
      </w:r>
    </w:p>
    <w:p w:rsidR="00AB161F" w:rsidRDefault="00AB161F" w:rsidP="00ED3BAE">
      <w:pPr>
        <w:pStyle w:val="ListParagraph"/>
        <w:spacing w:after="0" w:line="240" w:lineRule="auto"/>
        <w:jc w:val="both"/>
        <w:rPr>
          <w:rFonts w:ascii="Times New Roman" w:hAnsi="Times New Roman"/>
        </w:rPr>
      </w:pPr>
    </w:p>
    <w:p w:rsidR="00AB161F" w:rsidRDefault="00C205BC"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rPr>
        <w:t>Provid</w:t>
      </w:r>
      <w:r w:rsidR="00C0180F">
        <w:rPr>
          <w:rFonts w:ascii="Times New Roman" w:hAnsi="Times New Roman"/>
        </w:rPr>
        <w:t>e</w:t>
      </w:r>
      <w:r>
        <w:rPr>
          <w:rFonts w:ascii="Times New Roman" w:hAnsi="Times New Roman"/>
        </w:rPr>
        <w:t xml:space="preserve"> appropriate AEAS on all agriculture-related subject-matter emphasizing farming as a business and increasing farmer access to improved agricultural technologies and practices</w:t>
      </w:r>
      <w:r w:rsidR="000737D3">
        <w:rPr>
          <w:rFonts w:ascii="Times New Roman" w:hAnsi="Times New Roman"/>
        </w:rPr>
        <w:t>.</w:t>
      </w:r>
    </w:p>
    <w:p w:rsidR="00AB161F" w:rsidRDefault="00C205BC"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rPr>
        <w:t>Reinvigorat</w:t>
      </w:r>
      <w:r w:rsidR="00C0180F">
        <w:rPr>
          <w:rFonts w:ascii="Times New Roman" w:hAnsi="Times New Roman"/>
        </w:rPr>
        <w:t>e</w:t>
      </w:r>
      <w:r>
        <w:rPr>
          <w:rFonts w:ascii="Times New Roman" w:hAnsi="Times New Roman"/>
        </w:rPr>
        <w:t xml:space="preserve"> and strengthen existing or form and develop new farmer groups, associations, and apex organizations as critical </w:t>
      </w:r>
      <w:r w:rsidR="00FB5CE3">
        <w:rPr>
          <w:rFonts w:ascii="Times New Roman" w:hAnsi="Times New Roman"/>
        </w:rPr>
        <w:t xml:space="preserve">sustainable </w:t>
      </w:r>
      <w:r>
        <w:rPr>
          <w:rFonts w:ascii="Times New Roman" w:hAnsi="Times New Roman"/>
        </w:rPr>
        <w:t>components of a transformed AEAS system.</w:t>
      </w:r>
    </w:p>
    <w:p w:rsidR="00AB161F" w:rsidRDefault="00C205BC"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rPr>
        <w:t>Engag</w:t>
      </w:r>
      <w:r w:rsidR="00C0180F">
        <w:rPr>
          <w:rFonts w:ascii="Times New Roman" w:hAnsi="Times New Roman"/>
        </w:rPr>
        <w:t>e</w:t>
      </w:r>
      <w:r>
        <w:rPr>
          <w:rFonts w:ascii="Times New Roman" w:hAnsi="Times New Roman"/>
        </w:rPr>
        <w:t xml:space="preserve"> farmers and other stakeholders </w:t>
      </w:r>
      <w:r w:rsidR="000737D3">
        <w:rPr>
          <w:rFonts w:ascii="Times New Roman" w:hAnsi="Times New Roman"/>
        </w:rPr>
        <w:t xml:space="preserve">in sustainable actions designed </w:t>
      </w:r>
      <w:r>
        <w:rPr>
          <w:rFonts w:ascii="Times New Roman" w:hAnsi="Times New Roman"/>
        </w:rPr>
        <w:t xml:space="preserve">to assist them to achieve </w:t>
      </w:r>
      <w:r w:rsidR="000737D3">
        <w:rPr>
          <w:rFonts w:ascii="Times New Roman" w:hAnsi="Times New Roman"/>
        </w:rPr>
        <w:t xml:space="preserve">their </w:t>
      </w:r>
      <w:r>
        <w:rPr>
          <w:rFonts w:ascii="Times New Roman" w:hAnsi="Times New Roman"/>
        </w:rPr>
        <w:t xml:space="preserve">food security and increase </w:t>
      </w:r>
      <w:r w:rsidR="000737D3">
        <w:rPr>
          <w:rFonts w:ascii="Times New Roman" w:hAnsi="Times New Roman"/>
        </w:rPr>
        <w:t xml:space="preserve">their </w:t>
      </w:r>
      <w:r>
        <w:rPr>
          <w:rFonts w:ascii="Times New Roman" w:hAnsi="Times New Roman"/>
        </w:rPr>
        <w:t>income.</w:t>
      </w:r>
    </w:p>
    <w:p w:rsidR="00AB161F" w:rsidRDefault="000737D3"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rPr>
        <w:t xml:space="preserve">Test-out innovative AEAS approaches and methods </w:t>
      </w:r>
      <w:r w:rsidR="00C0180F">
        <w:rPr>
          <w:rFonts w:ascii="Times New Roman" w:hAnsi="Times New Roman"/>
        </w:rPr>
        <w:t xml:space="preserve">in order </w:t>
      </w:r>
      <w:r>
        <w:rPr>
          <w:rFonts w:ascii="Times New Roman" w:hAnsi="Times New Roman"/>
        </w:rPr>
        <w:t xml:space="preserve">to identify and disseminate best practices to </w:t>
      </w:r>
      <w:r w:rsidR="00CB690C">
        <w:rPr>
          <w:rFonts w:ascii="Times New Roman" w:hAnsi="Times New Roman"/>
        </w:rPr>
        <w:t xml:space="preserve">those involved in </w:t>
      </w:r>
      <w:r>
        <w:rPr>
          <w:rFonts w:ascii="Times New Roman" w:hAnsi="Times New Roman"/>
        </w:rPr>
        <w:t>AEAS</w:t>
      </w:r>
      <w:r w:rsidR="00CB690C">
        <w:rPr>
          <w:rFonts w:ascii="Times New Roman" w:hAnsi="Times New Roman"/>
        </w:rPr>
        <w:t>.</w:t>
      </w:r>
    </w:p>
    <w:p w:rsidR="00AB161F" w:rsidRDefault="00527604"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rPr>
        <w:t>Develop linkages and networks among</w:t>
      </w:r>
      <w:r w:rsidR="000737D3">
        <w:rPr>
          <w:rFonts w:ascii="Times New Roman" w:hAnsi="Times New Roman"/>
        </w:rPr>
        <w:t xml:space="preserve"> AEAS actors along market chains,</w:t>
      </w:r>
    </w:p>
    <w:p w:rsidR="00AB161F" w:rsidRPr="00AB161F" w:rsidRDefault="00FA5F14"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lang w:val="en-GB"/>
        </w:rPr>
        <w:t>Collaborat</w:t>
      </w:r>
      <w:r w:rsidR="00C0180F">
        <w:rPr>
          <w:rFonts w:ascii="Times New Roman" w:hAnsi="Times New Roman"/>
          <w:lang w:val="en-GB"/>
        </w:rPr>
        <w:t>e</w:t>
      </w:r>
      <w:r>
        <w:rPr>
          <w:rFonts w:ascii="Times New Roman" w:hAnsi="Times New Roman"/>
          <w:lang w:val="en-GB"/>
        </w:rPr>
        <w:t xml:space="preserve"> in coordination of AEAS along with MOA.</w:t>
      </w:r>
    </w:p>
    <w:p w:rsidR="00AB161F" w:rsidRPr="00AB161F" w:rsidRDefault="00FA5F14"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lang w:val="en-GB"/>
        </w:rPr>
        <w:t>Collaborat</w:t>
      </w:r>
      <w:r w:rsidR="00C0180F">
        <w:rPr>
          <w:rFonts w:ascii="Times New Roman" w:hAnsi="Times New Roman"/>
          <w:lang w:val="en-GB"/>
        </w:rPr>
        <w:t>e</w:t>
      </w:r>
      <w:r>
        <w:rPr>
          <w:rFonts w:ascii="Times New Roman" w:hAnsi="Times New Roman"/>
          <w:lang w:val="en-GB"/>
        </w:rPr>
        <w:t xml:space="preserve"> in monitoring and evaluation of AEAS activities and projects along with MOA.</w:t>
      </w:r>
    </w:p>
    <w:p w:rsidR="00AB161F" w:rsidRDefault="000737D3" w:rsidP="00ED3BAE">
      <w:pPr>
        <w:pStyle w:val="ListParagraph"/>
        <w:numPr>
          <w:ilvl w:val="1"/>
          <w:numId w:val="17"/>
        </w:numPr>
        <w:spacing w:after="0" w:line="240" w:lineRule="auto"/>
        <w:ind w:left="1080"/>
        <w:jc w:val="both"/>
        <w:rPr>
          <w:rFonts w:ascii="Times New Roman" w:hAnsi="Times New Roman"/>
        </w:rPr>
      </w:pPr>
      <w:r>
        <w:rPr>
          <w:rFonts w:ascii="Times New Roman" w:hAnsi="Times New Roman"/>
        </w:rPr>
        <w:t>Participat</w:t>
      </w:r>
      <w:r w:rsidR="00C0180F">
        <w:rPr>
          <w:rFonts w:ascii="Times New Roman" w:hAnsi="Times New Roman"/>
        </w:rPr>
        <w:t>e</w:t>
      </w:r>
      <w:r>
        <w:rPr>
          <w:rFonts w:ascii="Times New Roman" w:hAnsi="Times New Roman"/>
        </w:rPr>
        <w:t xml:space="preserve"> actively in AEAS platforms and coordinating bodies and meetings.</w:t>
      </w:r>
    </w:p>
    <w:p w:rsidR="00CF4D0E" w:rsidRDefault="00CF4D0E" w:rsidP="00ED3BAE">
      <w:pPr>
        <w:pStyle w:val="ListParagraph"/>
        <w:spacing w:after="0" w:line="240" w:lineRule="auto"/>
        <w:ind w:left="1080"/>
        <w:jc w:val="both"/>
        <w:rPr>
          <w:rFonts w:ascii="Times New Roman" w:hAnsi="Times New Roman"/>
        </w:rPr>
      </w:pPr>
    </w:p>
    <w:p w:rsidR="00261C26" w:rsidRPr="00E6515D" w:rsidRDefault="000E10AD" w:rsidP="00ED3BAE">
      <w:pPr>
        <w:pStyle w:val="ListParagraph"/>
        <w:numPr>
          <w:ilvl w:val="0"/>
          <w:numId w:val="17"/>
        </w:numPr>
        <w:spacing w:after="0" w:line="240" w:lineRule="auto"/>
        <w:ind w:left="720"/>
        <w:jc w:val="both"/>
        <w:rPr>
          <w:rFonts w:ascii="Times New Roman" w:hAnsi="Times New Roman"/>
          <w:b/>
          <w:i/>
        </w:rPr>
      </w:pPr>
      <w:r w:rsidRPr="000E10AD">
        <w:rPr>
          <w:rFonts w:ascii="Times New Roman" w:hAnsi="Times New Roman"/>
          <w:b/>
          <w:i/>
        </w:rPr>
        <w:t>Agricultural Education Institutions</w:t>
      </w:r>
    </w:p>
    <w:p w:rsidR="00261C26" w:rsidRDefault="00261C26" w:rsidP="00ED3BAE">
      <w:pPr>
        <w:spacing w:after="0" w:line="240" w:lineRule="auto"/>
        <w:jc w:val="both"/>
        <w:rPr>
          <w:rFonts w:ascii="Times New Roman" w:hAnsi="Times New Roman"/>
          <w:b/>
        </w:rPr>
      </w:pPr>
    </w:p>
    <w:p w:rsidR="00261C26" w:rsidRDefault="00D757A2" w:rsidP="00ED3BAE">
      <w:pPr>
        <w:spacing w:after="0" w:line="240" w:lineRule="auto"/>
        <w:ind w:left="720" w:hanging="720"/>
        <w:jc w:val="both"/>
        <w:rPr>
          <w:rFonts w:ascii="Times New Roman" w:hAnsi="Times New Roman"/>
        </w:rPr>
      </w:pPr>
      <w:r>
        <w:rPr>
          <w:rFonts w:ascii="Times New Roman" w:hAnsi="Times New Roman"/>
        </w:rPr>
        <w:tab/>
      </w:r>
      <w:r w:rsidR="001C19DE" w:rsidRPr="001C19DE">
        <w:rPr>
          <w:rFonts w:ascii="Times New Roman" w:hAnsi="Times New Roman"/>
        </w:rPr>
        <w:t xml:space="preserve">These institutions are vital for building and sustaining AEAS capacity.  </w:t>
      </w:r>
      <w:r w:rsidR="00FD37A6">
        <w:rPr>
          <w:rFonts w:ascii="Times New Roman" w:hAnsi="Times New Roman"/>
        </w:rPr>
        <w:t>To complement their role in building expertise to be applied to the agricultural sector in general, t</w:t>
      </w:r>
      <w:r w:rsidR="001C19DE" w:rsidRPr="001C19DE">
        <w:rPr>
          <w:rFonts w:ascii="Times New Roman" w:hAnsi="Times New Roman"/>
        </w:rPr>
        <w:t xml:space="preserve">heir primary role </w:t>
      </w:r>
      <w:r w:rsidR="00FD37A6">
        <w:rPr>
          <w:rFonts w:ascii="Times New Roman" w:hAnsi="Times New Roman"/>
        </w:rPr>
        <w:t xml:space="preserve">vis-à-vis AEAS </w:t>
      </w:r>
      <w:r w:rsidR="001C19DE" w:rsidRPr="001C19DE">
        <w:rPr>
          <w:rFonts w:ascii="Times New Roman" w:hAnsi="Times New Roman"/>
        </w:rPr>
        <w:t xml:space="preserve">is to meet the growing need to develop well-trained AEAS </w:t>
      </w:r>
      <w:r w:rsidR="001C19DE">
        <w:rPr>
          <w:rFonts w:ascii="Times New Roman" w:hAnsi="Times New Roman"/>
        </w:rPr>
        <w:t>advisors and technicians</w:t>
      </w:r>
      <w:r w:rsidR="00FD37A6">
        <w:rPr>
          <w:rFonts w:ascii="Times New Roman" w:hAnsi="Times New Roman"/>
        </w:rPr>
        <w:t xml:space="preserve"> who are capable of efficiently and effectively responding to the needs of farmers and th</w:t>
      </w:r>
      <w:r w:rsidR="00A108C7">
        <w:rPr>
          <w:rFonts w:ascii="Times New Roman" w:hAnsi="Times New Roman"/>
        </w:rPr>
        <w:t>eir organizations and to meet</w:t>
      </w:r>
      <w:r w:rsidR="00FD37A6">
        <w:rPr>
          <w:rFonts w:ascii="Times New Roman" w:hAnsi="Times New Roman"/>
        </w:rPr>
        <w:t xml:space="preserve"> the array of challenges of a pluralistic AEAS system. </w:t>
      </w:r>
    </w:p>
    <w:p w:rsidR="008C05AE" w:rsidRDefault="008C05AE" w:rsidP="00ED3BAE">
      <w:pPr>
        <w:spacing w:after="0" w:line="240" w:lineRule="auto"/>
        <w:ind w:left="720" w:hanging="720"/>
        <w:jc w:val="both"/>
        <w:rPr>
          <w:rFonts w:ascii="Times New Roman" w:hAnsi="Times New Roman"/>
          <w:b/>
        </w:rPr>
      </w:pPr>
      <w:r>
        <w:rPr>
          <w:rFonts w:ascii="Times New Roman" w:hAnsi="Times New Roman"/>
          <w:b/>
        </w:rPr>
        <w:t>3.4.4</w:t>
      </w:r>
      <w:r>
        <w:rPr>
          <w:rFonts w:ascii="Times New Roman" w:hAnsi="Times New Roman"/>
          <w:b/>
        </w:rPr>
        <w:tab/>
        <w:t>Donors and International Technical Agencies</w:t>
      </w:r>
    </w:p>
    <w:p w:rsidR="00E67C2A" w:rsidRDefault="00E67C2A" w:rsidP="00ED3BAE">
      <w:pPr>
        <w:spacing w:after="0" w:line="240" w:lineRule="auto"/>
        <w:ind w:left="720" w:hanging="720"/>
        <w:jc w:val="both"/>
        <w:rPr>
          <w:rFonts w:ascii="Times New Roman" w:hAnsi="Times New Roman"/>
          <w:b/>
        </w:rPr>
      </w:pPr>
    </w:p>
    <w:p w:rsidR="00E67C2A" w:rsidRDefault="00E67C2A" w:rsidP="00E67C2A">
      <w:pPr>
        <w:spacing w:after="0" w:line="240" w:lineRule="auto"/>
        <w:jc w:val="both"/>
        <w:rPr>
          <w:rFonts w:ascii="Times New Roman" w:hAnsi="Times New Roman"/>
        </w:rPr>
      </w:pPr>
      <w:r>
        <w:rPr>
          <w:rFonts w:ascii="Times New Roman" w:hAnsi="Times New Roman"/>
        </w:rPr>
        <w:t>Good donor practices</w:t>
      </w:r>
      <w:r w:rsidR="00102EA7">
        <w:rPr>
          <w:rFonts w:ascii="Times New Roman" w:hAnsi="Times New Roman"/>
        </w:rPr>
        <w:t>,</w:t>
      </w:r>
      <w:r w:rsidR="008A3E1D">
        <w:rPr>
          <w:rFonts w:ascii="Times New Roman" w:hAnsi="Times New Roman"/>
        </w:rPr>
        <w:t xml:space="preserve"> as presented</w:t>
      </w:r>
      <w:r w:rsidR="00102EA7">
        <w:rPr>
          <w:rFonts w:ascii="Times New Roman" w:hAnsi="Times New Roman"/>
        </w:rPr>
        <w:t xml:space="preserve"> in </w:t>
      </w:r>
      <w:r>
        <w:rPr>
          <w:rFonts w:ascii="Times New Roman" w:hAnsi="Times New Roman"/>
        </w:rPr>
        <w:t>various statements such as the Global Donor Platform for Rural Development “Joint Donor Principles for Agriculture and Rural Development Programmes”, the L’Aquila statement, the Paris Declaration on Aid Effectiveness, and the Accra Agenda for Action</w:t>
      </w:r>
      <w:r w:rsidR="00102EA7">
        <w:rPr>
          <w:rFonts w:ascii="Times New Roman" w:hAnsi="Times New Roman"/>
        </w:rPr>
        <w:t>,</w:t>
      </w:r>
      <w:r>
        <w:rPr>
          <w:rFonts w:ascii="Times New Roman" w:hAnsi="Times New Roman"/>
        </w:rPr>
        <w:t xml:space="preserve"> provide the framework for donor and </w:t>
      </w:r>
      <w:r w:rsidR="000C5EBD">
        <w:rPr>
          <w:rFonts w:ascii="Times New Roman" w:hAnsi="Times New Roman"/>
        </w:rPr>
        <w:t>international technical agency</w:t>
      </w:r>
      <w:r>
        <w:rPr>
          <w:rFonts w:ascii="Times New Roman" w:hAnsi="Times New Roman"/>
        </w:rPr>
        <w:t xml:space="preserve"> r</w:t>
      </w:r>
      <w:r w:rsidR="00B116B9">
        <w:rPr>
          <w:rFonts w:ascii="Times New Roman" w:hAnsi="Times New Roman"/>
        </w:rPr>
        <w:t xml:space="preserve">oles.  </w:t>
      </w:r>
      <w:r w:rsidR="000C5EBD">
        <w:rPr>
          <w:rFonts w:ascii="Times New Roman" w:hAnsi="Times New Roman"/>
        </w:rPr>
        <w:t>These documents</w:t>
      </w:r>
      <w:r>
        <w:rPr>
          <w:rFonts w:ascii="Times New Roman" w:hAnsi="Times New Roman"/>
        </w:rPr>
        <w:t xml:space="preserve"> emphasize principles such as ownership, alignment, harmonization, managing for results, mutual accountability, strategic coordination, support for country-owned processes, a comprehensive approach, use of effective multilateral mechan</w:t>
      </w:r>
      <w:r w:rsidR="00B116B9">
        <w:rPr>
          <w:rFonts w:ascii="Times New Roman" w:hAnsi="Times New Roman"/>
        </w:rPr>
        <w:t xml:space="preserve">isms, and sustained commitment.  </w:t>
      </w:r>
      <w:r>
        <w:rPr>
          <w:rFonts w:ascii="Times New Roman" w:hAnsi="Times New Roman"/>
        </w:rPr>
        <w:t>Within this framew</w:t>
      </w:r>
      <w:r w:rsidR="00DC2C2E">
        <w:rPr>
          <w:rFonts w:ascii="Times New Roman" w:hAnsi="Times New Roman"/>
        </w:rPr>
        <w:t>ork, roles more specific</w:t>
      </w:r>
      <w:r>
        <w:rPr>
          <w:rFonts w:ascii="Times New Roman" w:hAnsi="Times New Roman"/>
        </w:rPr>
        <w:t xml:space="preserve"> to AEAS are to advise on trends and emerging </w:t>
      </w:r>
      <w:r w:rsidR="000C5EBD">
        <w:rPr>
          <w:rFonts w:ascii="Times New Roman" w:hAnsi="Times New Roman"/>
        </w:rPr>
        <w:t>practices; make available</w:t>
      </w:r>
      <w:r>
        <w:rPr>
          <w:rFonts w:ascii="Times New Roman" w:hAnsi="Times New Roman"/>
        </w:rPr>
        <w:t xml:space="preserve"> technical </w:t>
      </w:r>
      <w:r w:rsidR="000C5EBD">
        <w:rPr>
          <w:rFonts w:ascii="Times New Roman" w:hAnsi="Times New Roman"/>
        </w:rPr>
        <w:t>advice and support; develop and implement participatory processes for monitoring, evaluation, and impact assessment and for conducting research on extension processes; and finance and invest in AEAS.</w:t>
      </w:r>
    </w:p>
    <w:p w:rsidR="00E67C2A" w:rsidRPr="00E67C2A" w:rsidRDefault="00E67C2A" w:rsidP="00E67C2A">
      <w:pPr>
        <w:spacing w:after="0" w:line="240" w:lineRule="auto"/>
        <w:jc w:val="both"/>
        <w:rPr>
          <w:rFonts w:ascii="Times New Roman" w:hAnsi="Times New Roman"/>
        </w:rPr>
      </w:pPr>
      <w:r>
        <w:rPr>
          <w:rFonts w:ascii="Times New Roman" w:hAnsi="Times New Roman"/>
        </w:rPr>
        <w:t xml:space="preserve">  </w:t>
      </w:r>
    </w:p>
    <w:p w:rsidR="00785BDE" w:rsidRPr="00E67C2A" w:rsidRDefault="00785BDE" w:rsidP="00ED3BAE">
      <w:pPr>
        <w:pStyle w:val="ListParagraph"/>
        <w:spacing w:after="0" w:line="240" w:lineRule="auto"/>
        <w:ind w:left="1080"/>
        <w:jc w:val="both"/>
        <w:rPr>
          <w:rFonts w:ascii="Times New Roman" w:hAnsi="Times New Roman"/>
        </w:rPr>
      </w:pPr>
    </w:p>
    <w:p w:rsidR="00107B27" w:rsidRPr="0041466E" w:rsidRDefault="001C19DE" w:rsidP="00ED3BAE">
      <w:pPr>
        <w:pStyle w:val="ListParagraph"/>
        <w:spacing w:line="240" w:lineRule="auto"/>
        <w:ind w:left="0"/>
        <w:jc w:val="both"/>
        <w:rPr>
          <w:rFonts w:ascii="Times New Roman" w:hAnsi="Times New Roman"/>
          <w:b/>
        </w:rPr>
      </w:pPr>
      <w:r>
        <w:rPr>
          <w:rFonts w:ascii="Times New Roman" w:hAnsi="Times New Roman"/>
          <w:b/>
        </w:rPr>
        <w:t>3.5</w:t>
      </w:r>
      <w:r>
        <w:rPr>
          <w:rFonts w:ascii="Times New Roman" w:hAnsi="Times New Roman"/>
          <w:b/>
        </w:rPr>
        <w:tab/>
      </w:r>
      <w:r w:rsidR="00F20EA6">
        <w:rPr>
          <w:rFonts w:ascii="Times New Roman" w:hAnsi="Times New Roman"/>
          <w:b/>
        </w:rPr>
        <w:t xml:space="preserve">AEAS </w:t>
      </w:r>
      <w:r>
        <w:rPr>
          <w:rFonts w:ascii="Times New Roman" w:hAnsi="Times New Roman"/>
          <w:b/>
        </w:rPr>
        <w:t>COORDINATION</w:t>
      </w:r>
    </w:p>
    <w:p w:rsidR="00107B27" w:rsidRDefault="00107B27" w:rsidP="00ED3BAE">
      <w:pPr>
        <w:pStyle w:val="ListParagraph"/>
        <w:spacing w:line="240" w:lineRule="auto"/>
        <w:ind w:left="0"/>
        <w:jc w:val="both"/>
        <w:rPr>
          <w:rFonts w:ascii="Times New Roman" w:hAnsi="Times New Roman"/>
        </w:rPr>
      </w:pPr>
    </w:p>
    <w:p w:rsidR="00056101" w:rsidRDefault="00CE71C5" w:rsidP="00ED3BAE">
      <w:pPr>
        <w:pStyle w:val="ListParagraph"/>
        <w:spacing w:line="240" w:lineRule="auto"/>
        <w:ind w:left="0"/>
        <w:jc w:val="both"/>
        <w:rPr>
          <w:rFonts w:ascii="Times New Roman" w:hAnsi="Times New Roman"/>
        </w:rPr>
      </w:pPr>
      <w:r>
        <w:rPr>
          <w:rFonts w:ascii="Times New Roman" w:hAnsi="Times New Roman"/>
        </w:rPr>
        <w:t>It is recognized that coordination among stakeholders and actors</w:t>
      </w:r>
      <w:r w:rsidR="00744B24">
        <w:rPr>
          <w:rFonts w:ascii="Times New Roman" w:hAnsi="Times New Roman"/>
        </w:rPr>
        <w:t xml:space="preserve"> is fundamental</w:t>
      </w:r>
      <w:r w:rsidR="00987F0C">
        <w:rPr>
          <w:rFonts w:ascii="Times New Roman" w:hAnsi="Times New Roman"/>
        </w:rPr>
        <w:t xml:space="preserve"> to successful AEAS and consultative mechanisms are required</w:t>
      </w:r>
      <w:r w:rsidR="009F3A58">
        <w:rPr>
          <w:rFonts w:ascii="Times New Roman" w:hAnsi="Times New Roman"/>
        </w:rPr>
        <w:t>.</w:t>
      </w:r>
      <w:r w:rsidR="00891515">
        <w:rPr>
          <w:rStyle w:val="FootnoteReference"/>
          <w:rFonts w:ascii="Times New Roman" w:hAnsi="Times New Roman"/>
        </w:rPr>
        <w:footnoteReference w:id="11"/>
      </w:r>
      <w:r w:rsidR="009F3A58">
        <w:rPr>
          <w:rFonts w:ascii="Times New Roman" w:hAnsi="Times New Roman"/>
        </w:rPr>
        <w:t xml:space="preserve">  </w:t>
      </w:r>
      <w:r w:rsidR="00891515">
        <w:rPr>
          <w:rFonts w:ascii="Times New Roman" w:hAnsi="Times New Roman"/>
        </w:rPr>
        <w:t>Coordination is a main function of the MOA and the MOA will lead such efforts in collaboration with others in the AEAS system.</w:t>
      </w:r>
      <w:r w:rsidR="00FE4220">
        <w:rPr>
          <w:rFonts w:ascii="Times New Roman" w:hAnsi="Times New Roman"/>
        </w:rPr>
        <w:t xml:space="preserve">  Coordination w</w:t>
      </w:r>
      <w:r w:rsidR="001B625F">
        <w:rPr>
          <w:rFonts w:ascii="Times New Roman" w:hAnsi="Times New Roman"/>
        </w:rPr>
        <w:t xml:space="preserve">ill be ongoing and continuous. </w:t>
      </w:r>
      <w:r w:rsidR="00620F11">
        <w:rPr>
          <w:rFonts w:ascii="Times New Roman" w:hAnsi="Times New Roman"/>
        </w:rPr>
        <w:t xml:space="preserve"> </w:t>
      </w:r>
      <w:r w:rsidR="00FE4220">
        <w:rPr>
          <w:rFonts w:ascii="Times New Roman" w:hAnsi="Times New Roman"/>
        </w:rPr>
        <w:t xml:space="preserve">The goal of coordination is to develop trust and facilitate </w:t>
      </w:r>
      <w:r w:rsidR="001C3EBC">
        <w:rPr>
          <w:rFonts w:ascii="Times New Roman" w:hAnsi="Times New Roman"/>
        </w:rPr>
        <w:t xml:space="preserve">transparency, </w:t>
      </w:r>
      <w:r w:rsidR="00FE4220">
        <w:rPr>
          <w:rFonts w:ascii="Times New Roman" w:hAnsi="Times New Roman"/>
        </w:rPr>
        <w:t>open communications</w:t>
      </w:r>
      <w:r w:rsidR="001C3EBC">
        <w:rPr>
          <w:rFonts w:ascii="Times New Roman" w:hAnsi="Times New Roman"/>
        </w:rPr>
        <w:t>, and dialogue</w:t>
      </w:r>
      <w:r w:rsidR="00FE4220">
        <w:rPr>
          <w:rFonts w:ascii="Times New Roman" w:hAnsi="Times New Roman"/>
        </w:rPr>
        <w:t xml:space="preserve"> among </w:t>
      </w:r>
      <w:r w:rsidR="00C20174">
        <w:rPr>
          <w:rFonts w:ascii="Times New Roman" w:hAnsi="Times New Roman"/>
        </w:rPr>
        <w:t xml:space="preserve">all involved with </w:t>
      </w:r>
      <w:r w:rsidR="00FE4220">
        <w:rPr>
          <w:rFonts w:ascii="Times New Roman" w:hAnsi="Times New Roman"/>
        </w:rPr>
        <w:t xml:space="preserve">AEAS </w:t>
      </w:r>
      <w:r w:rsidR="001C3EBC">
        <w:rPr>
          <w:rFonts w:ascii="Times New Roman" w:hAnsi="Times New Roman"/>
        </w:rPr>
        <w:t xml:space="preserve">in order </w:t>
      </w:r>
      <w:r w:rsidR="00F03F12">
        <w:rPr>
          <w:rFonts w:ascii="Times New Roman" w:hAnsi="Times New Roman"/>
        </w:rPr>
        <w:t>to meet and overcome</w:t>
      </w:r>
      <w:r w:rsidR="00FE4220">
        <w:rPr>
          <w:rFonts w:ascii="Times New Roman" w:hAnsi="Times New Roman"/>
        </w:rPr>
        <w:t xml:space="preserve"> the challenges of this Policy’s Vision and Mission.  Stating from the</w:t>
      </w:r>
      <w:r w:rsidR="001C3EBC">
        <w:rPr>
          <w:rFonts w:ascii="Times New Roman" w:hAnsi="Times New Roman"/>
        </w:rPr>
        <w:t xml:space="preserve"> seminal document, </w:t>
      </w:r>
      <w:r w:rsidR="000E10AD" w:rsidRPr="000E10AD">
        <w:rPr>
          <w:rFonts w:ascii="Times New Roman" w:hAnsi="Times New Roman"/>
          <w:i/>
        </w:rPr>
        <w:t>Com</w:t>
      </w:r>
      <w:r w:rsidR="009F3A58">
        <w:rPr>
          <w:rFonts w:ascii="Times New Roman" w:hAnsi="Times New Roman"/>
          <w:i/>
        </w:rPr>
        <w:t>mon Framework on Agricultur</w:t>
      </w:r>
      <w:r w:rsidR="001C3EBC">
        <w:rPr>
          <w:rFonts w:ascii="Times New Roman" w:hAnsi="Times New Roman"/>
          <w:i/>
        </w:rPr>
        <w:t>al</w:t>
      </w:r>
      <w:r w:rsidR="000E10AD" w:rsidRPr="000E10AD">
        <w:rPr>
          <w:rFonts w:ascii="Times New Roman" w:hAnsi="Times New Roman"/>
          <w:i/>
        </w:rPr>
        <w:t xml:space="preserve"> Extension</w:t>
      </w:r>
      <w:r w:rsidR="00FE4220">
        <w:rPr>
          <w:rFonts w:ascii="Times New Roman" w:hAnsi="Times New Roman"/>
        </w:rPr>
        <w:t>, the</w:t>
      </w:r>
      <w:r w:rsidR="001C3EBC">
        <w:rPr>
          <w:rFonts w:ascii="Times New Roman" w:hAnsi="Times New Roman"/>
        </w:rPr>
        <w:t xml:space="preserve"> dialogue must be equitable - coordination must not become control by a different name.</w:t>
      </w:r>
      <w:r w:rsidR="001C3EBC">
        <w:rPr>
          <w:rStyle w:val="FootnoteReference"/>
          <w:rFonts w:ascii="Times New Roman" w:hAnsi="Times New Roman"/>
        </w:rPr>
        <w:footnoteReference w:id="12"/>
      </w:r>
      <w:r w:rsidR="001C3EBC">
        <w:rPr>
          <w:rFonts w:ascii="Times New Roman" w:hAnsi="Times New Roman"/>
        </w:rPr>
        <w:t xml:space="preserve"> </w:t>
      </w:r>
    </w:p>
    <w:p w:rsidR="00056101" w:rsidRDefault="00056101" w:rsidP="00ED3BAE">
      <w:pPr>
        <w:pStyle w:val="ListParagraph"/>
        <w:spacing w:line="240" w:lineRule="auto"/>
        <w:ind w:left="0"/>
        <w:jc w:val="both"/>
        <w:rPr>
          <w:rFonts w:ascii="Times New Roman" w:hAnsi="Times New Roman"/>
        </w:rPr>
      </w:pPr>
    </w:p>
    <w:p w:rsidR="00897BC5" w:rsidRDefault="00891515" w:rsidP="00ED3BAE">
      <w:pPr>
        <w:pStyle w:val="ListParagraph"/>
        <w:spacing w:line="240" w:lineRule="auto"/>
        <w:ind w:left="0"/>
        <w:jc w:val="both"/>
        <w:rPr>
          <w:rFonts w:ascii="Times New Roman" w:hAnsi="Times New Roman"/>
        </w:rPr>
      </w:pPr>
      <w:r>
        <w:rPr>
          <w:rFonts w:ascii="Times New Roman" w:hAnsi="Times New Roman"/>
        </w:rPr>
        <w:t>T</w:t>
      </w:r>
      <w:r w:rsidR="009F3A58">
        <w:rPr>
          <w:rFonts w:ascii="Times New Roman" w:hAnsi="Times New Roman"/>
        </w:rPr>
        <w:t>h</w:t>
      </w:r>
      <w:r w:rsidR="00744B24">
        <w:rPr>
          <w:rFonts w:ascii="Times New Roman" w:hAnsi="Times New Roman"/>
        </w:rPr>
        <w:t xml:space="preserve">ere are three categories of </w:t>
      </w:r>
      <w:r w:rsidR="00C20174">
        <w:rPr>
          <w:rFonts w:ascii="Times New Roman" w:hAnsi="Times New Roman"/>
        </w:rPr>
        <w:t>actors</w:t>
      </w:r>
      <w:r w:rsidR="00990071">
        <w:rPr>
          <w:rFonts w:ascii="Times New Roman" w:hAnsi="Times New Roman"/>
        </w:rPr>
        <w:t xml:space="preserve"> </w:t>
      </w:r>
      <w:r w:rsidR="00744B24">
        <w:rPr>
          <w:rFonts w:ascii="Times New Roman" w:hAnsi="Times New Roman"/>
        </w:rPr>
        <w:t xml:space="preserve">whose </w:t>
      </w:r>
      <w:r>
        <w:rPr>
          <w:rFonts w:ascii="Times New Roman" w:hAnsi="Times New Roman"/>
        </w:rPr>
        <w:t xml:space="preserve">active </w:t>
      </w:r>
      <w:r w:rsidR="00744B24">
        <w:rPr>
          <w:rFonts w:ascii="Times New Roman" w:hAnsi="Times New Roman"/>
        </w:rPr>
        <w:t xml:space="preserve">engagement in </w:t>
      </w:r>
      <w:r w:rsidR="00BE3017">
        <w:rPr>
          <w:rFonts w:ascii="Times New Roman" w:hAnsi="Times New Roman"/>
        </w:rPr>
        <w:t xml:space="preserve">systematic </w:t>
      </w:r>
      <w:r w:rsidR="00744B24">
        <w:rPr>
          <w:rFonts w:ascii="Times New Roman" w:hAnsi="Times New Roman"/>
        </w:rPr>
        <w:t xml:space="preserve">consultations will be critical.  These are:  </w:t>
      </w:r>
      <w:r>
        <w:rPr>
          <w:rFonts w:ascii="Times New Roman" w:hAnsi="Times New Roman"/>
        </w:rPr>
        <w:t xml:space="preserve">farmers; </w:t>
      </w:r>
      <w:r w:rsidR="00744B24">
        <w:rPr>
          <w:rFonts w:ascii="Times New Roman" w:hAnsi="Times New Roman"/>
        </w:rPr>
        <w:t xml:space="preserve">public, private, and civil society sector AEAS providers; </w:t>
      </w:r>
      <w:r>
        <w:rPr>
          <w:rFonts w:ascii="Times New Roman" w:hAnsi="Times New Roman"/>
        </w:rPr>
        <w:t xml:space="preserve">and </w:t>
      </w:r>
      <w:r w:rsidR="00744B24">
        <w:rPr>
          <w:rFonts w:ascii="Times New Roman" w:hAnsi="Times New Roman"/>
        </w:rPr>
        <w:t xml:space="preserve">AEAS providers, researchers, </w:t>
      </w:r>
      <w:r w:rsidR="008E30BA">
        <w:rPr>
          <w:rFonts w:ascii="Times New Roman" w:hAnsi="Times New Roman"/>
        </w:rPr>
        <w:t xml:space="preserve">technical experts, </w:t>
      </w:r>
      <w:r w:rsidR="00A108C7">
        <w:rPr>
          <w:rFonts w:ascii="Times New Roman" w:hAnsi="Times New Roman"/>
        </w:rPr>
        <w:t xml:space="preserve">input suppliers, </w:t>
      </w:r>
      <w:r w:rsidR="00C20174">
        <w:rPr>
          <w:rFonts w:ascii="Times New Roman" w:hAnsi="Times New Roman"/>
        </w:rPr>
        <w:t xml:space="preserve">agricultural educators, </w:t>
      </w:r>
      <w:r w:rsidR="00744B24">
        <w:rPr>
          <w:rFonts w:ascii="Times New Roman" w:hAnsi="Times New Roman"/>
        </w:rPr>
        <w:t xml:space="preserve">and others who have access to </w:t>
      </w:r>
      <w:r w:rsidR="001B625F">
        <w:rPr>
          <w:rFonts w:ascii="Times New Roman" w:hAnsi="Times New Roman"/>
        </w:rPr>
        <w:t xml:space="preserve">remunerative </w:t>
      </w:r>
      <w:r w:rsidR="00744B24">
        <w:rPr>
          <w:rFonts w:ascii="Times New Roman" w:hAnsi="Times New Roman"/>
        </w:rPr>
        <w:t>new or improved agricultu</w:t>
      </w:r>
      <w:r>
        <w:rPr>
          <w:rFonts w:ascii="Times New Roman" w:hAnsi="Times New Roman"/>
        </w:rPr>
        <w:t>ral technologies and practices</w:t>
      </w:r>
      <w:r w:rsidR="00744B24">
        <w:rPr>
          <w:rFonts w:ascii="Times New Roman" w:hAnsi="Times New Roman"/>
        </w:rPr>
        <w:t>.</w:t>
      </w:r>
    </w:p>
    <w:p w:rsidR="009C30B5" w:rsidRDefault="009C30B5" w:rsidP="00ED3BAE">
      <w:pPr>
        <w:pStyle w:val="ListParagraph"/>
        <w:spacing w:after="0" w:line="240" w:lineRule="auto"/>
        <w:ind w:left="0" w:hanging="720"/>
        <w:jc w:val="both"/>
        <w:rPr>
          <w:rFonts w:ascii="Times New Roman" w:hAnsi="Times New Roman"/>
          <w:b/>
        </w:rPr>
      </w:pPr>
    </w:p>
    <w:p w:rsidR="00897BC5" w:rsidRDefault="000E10AD" w:rsidP="00ED3BAE">
      <w:pPr>
        <w:pStyle w:val="ListParagraph"/>
        <w:spacing w:after="0" w:line="240" w:lineRule="auto"/>
        <w:ind w:left="0"/>
        <w:jc w:val="both"/>
        <w:rPr>
          <w:rFonts w:ascii="Times New Roman" w:hAnsi="Times New Roman"/>
          <w:b/>
        </w:rPr>
      </w:pPr>
      <w:r w:rsidRPr="000E10AD">
        <w:rPr>
          <w:rFonts w:ascii="Times New Roman" w:hAnsi="Times New Roman"/>
          <w:b/>
        </w:rPr>
        <w:t>3.5.1</w:t>
      </w:r>
      <w:r w:rsidRPr="000E10AD">
        <w:rPr>
          <w:rFonts w:ascii="Times New Roman" w:hAnsi="Times New Roman"/>
          <w:b/>
        </w:rPr>
        <w:tab/>
        <w:t>Farmers</w:t>
      </w:r>
    </w:p>
    <w:p w:rsidR="00897BC5" w:rsidRDefault="00897BC5" w:rsidP="00ED3BAE">
      <w:pPr>
        <w:pStyle w:val="ListParagraph"/>
        <w:spacing w:after="0" w:line="240" w:lineRule="auto"/>
        <w:ind w:left="0" w:hanging="720"/>
        <w:jc w:val="both"/>
        <w:rPr>
          <w:rFonts w:ascii="Times New Roman" w:hAnsi="Times New Roman"/>
          <w:b/>
        </w:rPr>
      </w:pPr>
    </w:p>
    <w:p w:rsidR="00897BC5" w:rsidRDefault="00BE3017" w:rsidP="00ED3BAE">
      <w:pPr>
        <w:tabs>
          <w:tab w:val="left" w:pos="720"/>
        </w:tabs>
        <w:spacing w:after="0" w:line="240" w:lineRule="auto"/>
        <w:jc w:val="both"/>
        <w:rPr>
          <w:rFonts w:ascii="Times New Roman" w:hAnsi="Times New Roman"/>
        </w:rPr>
      </w:pPr>
      <w:r>
        <w:rPr>
          <w:rFonts w:ascii="Times New Roman" w:hAnsi="Times New Roman"/>
        </w:rPr>
        <w:t>Currently, farmers</w:t>
      </w:r>
      <w:r w:rsidR="00450A46">
        <w:rPr>
          <w:rFonts w:ascii="Times New Roman" w:hAnsi="Times New Roman"/>
        </w:rPr>
        <w:t xml:space="preserve"> and/or their organizations,</w:t>
      </w:r>
      <w:r w:rsidR="001B625F">
        <w:rPr>
          <w:rFonts w:ascii="Times New Roman" w:hAnsi="Times New Roman"/>
        </w:rPr>
        <w:t xml:space="preserve"> at the clan, district, </w:t>
      </w:r>
      <w:r>
        <w:rPr>
          <w:rFonts w:ascii="Times New Roman" w:hAnsi="Times New Roman"/>
        </w:rPr>
        <w:t>county</w:t>
      </w:r>
      <w:r w:rsidR="001B625F">
        <w:rPr>
          <w:rFonts w:ascii="Times New Roman" w:hAnsi="Times New Roman"/>
        </w:rPr>
        <w:t>, and national</w:t>
      </w:r>
      <w:r>
        <w:rPr>
          <w:rFonts w:ascii="Times New Roman" w:hAnsi="Times New Roman"/>
        </w:rPr>
        <w:t xml:space="preserve"> levels have limited opportunity to directly provide input to reviewing, discussing, and/or establishing extension </w:t>
      </w:r>
      <w:r w:rsidR="00450A46">
        <w:rPr>
          <w:rFonts w:ascii="Times New Roman" w:hAnsi="Times New Roman"/>
        </w:rPr>
        <w:t xml:space="preserve">plans and priorities that affect them.  </w:t>
      </w:r>
      <w:r w:rsidR="00F03F12">
        <w:rPr>
          <w:rFonts w:ascii="Times New Roman" w:hAnsi="Times New Roman"/>
        </w:rPr>
        <w:t>O</w:t>
      </w:r>
      <w:r w:rsidR="00450A46">
        <w:rPr>
          <w:rFonts w:ascii="Times New Roman" w:hAnsi="Times New Roman"/>
        </w:rPr>
        <w:t xml:space="preserve">pportunities </w:t>
      </w:r>
      <w:r w:rsidR="00F03F12">
        <w:rPr>
          <w:rFonts w:ascii="Times New Roman" w:hAnsi="Times New Roman"/>
        </w:rPr>
        <w:t xml:space="preserve">for farmers </w:t>
      </w:r>
      <w:r w:rsidR="00450A46">
        <w:rPr>
          <w:rFonts w:ascii="Times New Roman" w:hAnsi="Times New Roman"/>
        </w:rPr>
        <w:t>to provide fe</w:t>
      </w:r>
      <w:r w:rsidR="00EC6CC0">
        <w:rPr>
          <w:rFonts w:ascii="Times New Roman" w:hAnsi="Times New Roman"/>
        </w:rPr>
        <w:t xml:space="preserve">edback to AEAS providers on </w:t>
      </w:r>
      <w:r w:rsidR="00450A46">
        <w:rPr>
          <w:rFonts w:ascii="Times New Roman" w:hAnsi="Times New Roman"/>
        </w:rPr>
        <w:t>their performance are also limited.  To facilitate a demand-driven AEAS system requires that farmers have such opportunities, and have the capacity, to articulate their needs (or demands)</w:t>
      </w:r>
      <w:r w:rsidR="00EC6CC0">
        <w:rPr>
          <w:rFonts w:ascii="Times New Roman" w:hAnsi="Times New Roman"/>
        </w:rPr>
        <w:t xml:space="preserve"> and assess extension performance</w:t>
      </w:r>
      <w:r w:rsidR="00B116B9">
        <w:rPr>
          <w:rFonts w:ascii="Times New Roman" w:hAnsi="Times New Roman"/>
        </w:rPr>
        <w:t xml:space="preserve">.  </w:t>
      </w:r>
      <w:r w:rsidR="00450A46">
        <w:rPr>
          <w:rFonts w:ascii="Times New Roman" w:hAnsi="Times New Roman"/>
        </w:rPr>
        <w:t xml:space="preserve">Based on the principle of subsidiarity, a </w:t>
      </w:r>
      <w:r w:rsidR="00EC6CC0">
        <w:rPr>
          <w:rFonts w:ascii="Times New Roman" w:hAnsi="Times New Roman"/>
        </w:rPr>
        <w:t xml:space="preserve">formalized </w:t>
      </w:r>
      <w:r w:rsidR="00450A46">
        <w:rPr>
          <w:rFonts w:ascii="Times New Roman" w:hAnsi="Times New Roman"/>
        </w:rPr>
        <w:t>farmer steering committee platform at these levels is to be established to provide farmers with such opportunities.  In order to act effectively on such opportunities, farmers will need capacity development to support their participation in such platforms.</w:t>
      </w:r>
      <w:r w:rsidR="00B116B9">
        <w:rPr>
          <w:rFonts w:ascii="Times New Roman" w:hAnsi="Times New Roman"/>
        </w:rPr>
        <w:t xml:space="preserve">  </w:t>
      </w:r>
      <w:r w:rsidR="00EC6CC0">
        <w:rPr>
          <w:rFonts w:ascii="Times New Roman" w:hAnsi="Times New Roman"/>
        </w:rPr>
        <w:t xml:space="preserve">Women farmers, young farmers, and farmers from disadvantages groups, as well as progressive and innovative farmers should all participate in these platforms.  </w:t>
      </w:r>
      <w:r w:rsidR="007E4A63">
        <w:rPr>
          <w:rFonts w:ascii="Times New Roman" w:hAnsi="Times New Roman"/>
        </w:rPr>
        <w:t xml:space="preserve">Farmer platforms need simultaneously to be linked to AEAS providers who it is expected will act on the information and input provided by farmers. </w:t>
      </w:r>
    </w:p>
    <w:p w:rsidR="00897BC5" w:rsidRDefault="00897BC5" w:rsidP="00ED3BAE">
      <w:pPr>
        <w:spacing w:after="0" w:line="240" w:lineRule="auto"/>
        <w:ind w:hanging="720"/>
        <w:jc w:val="both"/>
        <w:rPr>
          <w:rFonts w:ascii="Times New Roman" w:hAnsi="Times New Roman"/>
        </w:rPr>
      </w:pPr>
    </w:p>
    <w:p w:rsidR="00897BC5" w:rsidRDefault="00F03F12" w:rsidP="00ED3BAE">
      <w:pPr>
        <w:pStyle w:val="ListParagraph"/>
        <w:spacing w:after="0" w:line="240" w:lineRule="auto"/>
        <w:ind w:left="0"/>
        <w:jc w:val="both"/>
        <w:rPr>
          <w:rFonts w:ascii="Times New Roman" w:hAnsi="Times New Roman"/>
          <w:b/>
        </w:rPr>
      </w:pPr>
      <w:r>
        <w:rPr>
          <w:rFonts w:ascii="Times New Roman" w:hAnsi="Times New Roman"/>
          <w:b/>
        </w:rPr>
        <w:t>3.5.2</w:t>
      </w:r>
      <w:r>
        <w:rPr>
          <w:rFonts w:ascii="Times New Roman" w:hAnsi="Times New Roman"/>
          <w:b/>
        </w:rPr>
        <w:tab/>
      </w:r>
      <w:r w:rsidR="000E10AD" w:rsidRPr="000E10AD">
        <w:rPr>
          <w:rFonts w:ascii="Times New Roman" w:hAnsi="Times New Roman"/>
          <w:b/>
        </w:rPr>
        <w:t>Public, Private, and Civil Society Sector AEAS Providers</w:t>
      </w:r>
    </w:p>
    <w:p w:rsidR="00897BC5" w:rsidRDefault="00897BC5" w:rsidP="00ED3BAE">
      <w:pPr>
        <w:spacing w:after="0" w:line="240" w:lineRule="auto"/>
        <w:jc w:val="both"/>
        <w:rPr>
          <w:rFonts w:ascii="Times New Roman" w:hAnsi="Times New Roman"/>
          <w:b/>
        </w:rPr>
      </w:pPr>
    </w:p>
    <w:p w:rsidR="00897BC5" w:rsidRDefault="00E532BD" w:rsidP="00ED3BAE">
      <w:pPr>
        <w:spacing w:after="0" w:line="240" w:lineRule="auto"/>
        <w:jc w:val="both"/>
        <w:rPr>
          <w:rFonts w:ascii="Times New Roman" w:hAnsi="Times New Roman"/>
        </w:rPr>
      </w:pPr>
      <w:r>
        <w:rPr>
          <w:rFonts w:ascii="Times New Roman" w:hAnsi="Times New Roman"/>
        </w:rPr>
        <w:t xml:space="preserve">While a national-level platform for providers is needed, the large majority of effort and emphasis is to be at the county and/or district-levels.  </w:t>
      </w:r>
      <w:r w:rsidR="00FE4220">
        <w:rPr>
          <w:rFonts w:ascii="Times New Roman" w:hAnsi="Times New Roman"/>
        </w:rPr>
        <w:t xml:space="preserve">National-level activities to be undertaken could include development of an </w:t>
      </w:r>
      <w:r w:rsidR="000E10AD" w:rsidRPr="000E10AD">
        <w:rPr>
          <w:rFonts w:ascii="Times New Roman" w:hAnsi="Times New Roman"/>
          <w:i/>
        </w:rPr>
        <w:t>AEAS Code of Conduct Handbook</w:t>
      </w:r>
      <w:r w:rsidR="001C3EBC">
        <w:rPr>
          <w:rFonts w:ascii="Times New Roman" w:hAnsi="Times New Roman"/>
        </w:rPr>
        <w:t xml:space="preserve"> and other such activities that impact across the country.</w:t>
      </w:r>
      <w:r w:rsidR="00FE4220">
        <w:rPr>
          <w:rFonts w:ascii="Times New Roman" w:hAnsi="Times New Roman"/>
        </w:rPr>
        <w:t xml:space="preserve">  At the clan, district, and county</w:t>
      </w:r>
      <w:r>
        <w:rPr>
          <w:rFonts w:ascii="Times New Roman" w:hAnsi="Times New Roman"/>
        </w:rPr>
        <w:t xml:space="preserve"> levels, within the framework of participating AEAS project parameters and in light of input from farmer stakeholder platforms, the aim is to identify common objectives</w:t>
      </w:r>
      <w:r w:rsidR="00B507FC">
        <w:rPr>
          <w:rFonts w:ascii="Times New Roman" w:hAnsi="Times New Roman"/>
        </w:rPr>
        <w:t xml:space="preserve"> and priorities</w:t>
      </w:r>
      <w:r>
        <w:rPr>
          <w:rFonts w:ascii="Times New Roman" w:hAnsi="Times New Roman"/>
        </w:rPr>
        <w:t xml:space="preserve"> and ways of addressing these objectives</w:t>
      </w:r>
      <w:r w:rsidR="00B507FC">
        <w:rPr>
          <w:rFonts w:ascii="Times New Roman" w:hAnsi="Times New Roman"/>
        </w:rPr>
        <w:t xml:space="preserve"> and priorities</w:t>
      </w:r>
      <w:r>
        <w:rPr>
          <w:rFonts w:ascii="Times New Roman" w:hAnsi="Times New Roman"/>
        </w:rPr>
        <w:t>.  The different AEAS providers can capitalize on their field</w:t>
      </w:r>
      <w:r w:rsidR="00B507FC">
        <w:rPr>
          <w:rFonts w:ascii="Times New Roman" w:hAnsi="Times New Roman"/>
        </w:rPr>
        <w:t xml:space="preserve">-based experiences and exchange </w:t>
      </w:r>
      <w:r>
        <w:rPr>
          <w:rFonts w:ascii="Times New Roman" w:hAnsi="Times New Roman"/>
        </w:rPr>
        <w:t>information</w:t>
      </w:r>
      <w:r w:rsidR="00FE4220">
        <w:rPr>
          <w:rFonts w:ascii="Times New Roman" w:hAnsi="Times New Roman"/>
        </w:rPr>
        <w:t xml:space="preserve"> on, for example, activities, plans, best practices, challenges</w:t>
      </w:r>
      <w:r w:rsidR="00F03F12">
        <w:rPr>
          <w:rFonts w:ascii="Times New Roman" w:hAnsi="Times New Roman"/>
        </w:rPr>
        <w:t>,</w:t>
      </w:r>
      <w:r w:rsidR="00FE4220">
        <w:rPr>
          <w:rFonts w:ascii="Times New Roman" w:hAnsi="Times New Roman"/>
        </w:rPr>
        <w:t xml:space="preserve"> and solutions</w:t>
      </w:r>
      <w:r w:rsidR="00F03F12">
        <w:rPr>
          <w:rFonts w:ascii="Times New Roman" w:hAnsi="Times New Roman"/>
        </w:rPr>
        <w:t xml:space="preserve"> to challenges</w:t>
      </w:r>
      <w:r w:rsidR="00B116B9">
        <w:rPr>
          <w:rFonts w:ascii="Times New Roman" w:hAnsi="Times New Roman"/>
        </w:rPr>
        <w:t xml:space="preserve">.  </w:t>
      </w:r>
      <w:r>
        <w:rPr>
          <w:rFonts w:ascii="Times New Roman" w:hAnsi="Times New Roman"/>
        </w:rPr>
        <w:t xml:space="preserve">Collaboratively planning, scheduling, and conducting </w:t>
      </w:r>
      <w:r w:rsidR="00F03F12">
        <w:rPr>
          <w:rFonts w:ascii="Times New Roman" w:hAnsi="Times New Roman"/>
        </w:rPr>
        <w:t xml:space="preserve">of </w:t>
      </w:r>
      <w:r>
        <w:rPr>
          <w:rFonts w:ascii="Times New Roman" w:hAnsi="Times New Roman"/>
        </w:rPr>
        <w:t>monitoring and evaluation activities, with the end of providing quality services, are critical activities at these levels.</w:t>
      </w:r>
      <w:r w:rsidR="008919C2">
        <w:rPr>
          <w:rFonts w:ascii="Times New Roman" w:hAnsi="Times New Roman"/>
        </w:rPr>
        <w:t xml:space="preserve">  There are possibilities of pooling certain resources at these levels, such as training resources.  </w:t>
      </w:r>
    </w:p>
    <w:p w:rsidR="00056101" w:rsidRDefault="00056101" w:rsidP="00ED3BAE">
      <w:pPr>
        <w:spacing w:after="0" w:line="240" w:lineRule="auto"/>
        <w:jc w:val="both"/>
        <w:rPr>
          <w:rFonts w:ascii="Times New Roman" w:hAnsi="Times New Roman"/>
        </w:rPr>
      </w:pPr>
    </w:p>
    <w:p w:rsidR="00897BC5" w:rsidRDefault="00F03F12" w:rsidP="00ED3BAE">
      <w:pPr>
        <w:pStyle w:val="ListParagraph"/>
        <w:spacing w:after="0" w:line="240" w:lineRule="auto"/>
        <w:ind w:hanging="720"/>
        <w:jc w:val="both"/>
        <w:rPr>
          <w:b/>
        </w:rPr>
      </w:pPr>
      <w:r>
        <w:rPr>
          <w:rFonts w:ascii="Times New Roman" w:hAnsi="Times New Roman"/>
          <w:b/>
        </w:rPr>
        <w:t>3.5.3</w:t>
      </w:r>
      <w:r>
        <w:rPr>
          <w:rFonts w:ascii="Times New Roman" w:hAnsi="Times New Roman"/>
          <w:b/>
        </w:rPr>
        <w:tab/>
      </w:r>
      <w:r w:rsidR="00056101" w:rsidRPr="00056101">
        <w:rPr>
          <w:rFonts w:ascii="Times New Roman" w:hAnsi="Times New Roman"/>
          <w:b/>
        </w:rPr>
        <w:t xml:space="preserve">AEAS </w:t>
      </w:r>
      <w:r w:rsidR="00303762">
        <w:rPr>
          <w:rFonts w:ascii="Times New Roman" w:hAnsi="Times New Roman"/>
          <w:b/>
        </w:rPr>
        <w:t>P</w:t>
      </w:r>
      <w:r w:rsidR="00056101" w:rsidRPr="00056101">
        <w:rPr>
          <w:rFonts w:ascii="Times New Roman" w:hAnsi="Times New Roman"/>
          <w:b/>
        </w:rPr>
        <w:t xml:space="preserve">roviders, </w:t>
      </w:r>
      <w:r w:rsidR="00303762">
        <w:rPr>
          <w:rFonts w:ascii="Times New Roman" w:hAnsi="Times New Roman"/>
          <w:b/>
        </w:rPr>
        <w:t>R</w:t>
      </w:r>
      <w:r w:rsidR="00056101" w:rsidRPr="00056101">
        <w:rPr>
          <w:rFonts w:ascii="Times New Roman" w:hAnsi="Times New Roman"/>
          <w:b/>
        </w:rPr>
        <w:t xml:space="preserve">esearchers, </w:t>
      </w:r>
      <w:r w:rsidR="008E30BA">
        <w:rPr>
          <w:rFonts w:ascii="Times New Roman" w:hAnsi="Times New Roman"/>
          <w:b/>
        </w:rPr>
        <w:t xml:space="preserve">Technical Experts, </w:t>
      </w:r>
      <w:r w:rsidR="00A108C7">
        <w:rPr>
          <w:rFonts w:ascii="Times New Roman" w:hAnsi="Times New Roman"/>
          <w:b/>
        </w:rPr>
        <w:t xml:space="preserve">Input Suppliers, </w:t>
      </w:r>
      <w:r w:rsidR="00056101" w:rsidRPr="00056101">
        <w:rPr>
          <w:rFonts w:ascii="Times New Roman" w:hAnsi="Times New Roman"/>
          <w:b/>
        </w:rPr>
        <w:t xml:space="preserve">and </w:t>
      </w:r>
      <w:r w:rsidR="00303762">
        <w:rPr>
          <w:rFonts w:ascii="Times New Roman" w:hAnsi="Times New Roman"/>
          <w:b/>
        </w:rPr>
        <w:t>O</w:t>
      </w:r>
      <w:r w:rsidR="00056101" w:rsidRPr="00056101">
        <w:rPr>
          <w:rFonts w:ascii="Times New Roman" w:hAnsi="Times New Roman"/>
          <w:b/>
        </w:rPr>
        <w:t xml:space="preserve">thers </w:t>
      </w:r>
      <w:r w:rsidR="00303762">
        <w:rPr>
          <w:rFonts w:ascii="Times New Roman" w:hAnsi="Times New Roman"/>
          <w:b/>
        </w:rPr>
        <w:t>W</w:t>
      </w:r>
      <w:r w:rsidR="00056101" w:rsidRPr="00056101">
        <w:rPr>
          <w:rFonts w:ascii="Times New Roman" w:hAnsi="Times New Roman"/>
          <w:b/>
        </w:rPr>
        <w:t xml:space="preserve">ho </w:t>
      </w:r>
      <w:r w:rsidR="00303762">
        <w:rPr>
          <w:rFonts w:ascii="Times New Roman" w:hAnsi="Times New Roman"/>
          <w:b/>
        </w:rPr>
        <w:t>H</w:t>
      </w:r>
      <w:r w:rsidR="00056101" w:rsidRPr="00056101">
        <w:rPr>
          <w:rFonts w:ascii="Times New Roman" w:hAnsi="Times New Roman"/>
          <w:b/>
        </w:rPr>
        <w:t xml:space="preserve">ave </w:t>
      </w:r>
      <w:r w:rsidR="00303762">
        <w:rPr>
          <w:rFonts w:ascii="Times New Roman" w:hAnsi="Times New Roman"/>
          <w:b/>
        </w:rPr>
        <w:t>A</w:t>
      </w:r>
      <w:r w:rsidR="00056101" w:rsidRPr="00056101">
        <w:rPr>
          <w:rFonts w:ascii="Times New Roman" w:hAnsi="Times New Roman"/>
          <w:b/>
        </w:rPr>
        <w:t xml:space="preserve">ccess to </w:t>
      </w:r>
      <w:r w:rsidR="001B625F">
        <w:rPr>
          <w:rFonts w:ascii="Times New Roman" w:hAnsi="Times New Roman"/>
          <w:b/>
        </w:rPr>
        <w:t xml:space="preserve">Remunerative </w:t>
      </w:r>
      <w:r w:rsidR="00303762">
        <w:rPr>
          <w:rFonts w:ascii="Times New Roman" w:hAnsi="Times New Roman"/>
          <w:b/>
        </w:rPr>
        <w:t>N</w:t>
      </w:r>
      <w:r w:rsidR="00056101" w:rsidRPr="00056101">
        <w:rPr>
          <w:rFonts w:ascii="Times New Roman" w:hAnsi="Times New Roman"/>
          <w:b/>
        </w:rPr>
        <w:t xml:space="preserve">ew or </w:t>
      </w:r>
      <w:r w:rsidR="00303762">
        <w:rPr>
          <w:rFonts w:ascii="Times New Roman" w:hAnsi="Times New Roman"/>
          <w:b/>
        </w:rPr>
        <w:t>I</w:t>
      </w:r>
      <w:r w:rsidR="00056101" w:rsidRPr="00056101">
        <w:rPr>
          <w:rFonts w:ascii="Times New Roman" w:hAnsi="Times New Roman"/>
          <w:b/>
        </w:rPr>
        <w:t xml:space="preserve">mproved </w:t>
      </w:r>
      <w:r w:rsidR="00303762">
        <w:rPr>
          <w:rFonts w:ascii="Times New Roman" w:hAnsi="Times New Roman"/>
          <w:b/>
        </w:rPr>
        <w:t>A</w:t>
      </w:r>
      <w:r w:rsidR="00056101" w:rsidRPr="00056101">
        <w:rPr>
          <w:rFonts w:ascii="Times New Roman" w:hAnsi="Times New Roman"/>
          <w:b/>
        </w:rPr>
        <w:t xml:space="preserve">gricultural </w:t>
      </w:r>
      <w:r w:rsidR="00303762">
        <w:rPr>
          <w:rFonts w:ascii="Times New Roman" w:hAnsi="Times New Roman"/>
          <w:b/>
        </w:rPr>
        <w:t>T</w:t>
      </w:r>
      <w:r w:rsidR="00056101" w:rsidRPr="00056101">
        <w:rPr>
          <w:rFonts w:ascii="Times New Roman" w:hAnsi="Times New Roman"/>
          <w:b/>
        </w:rPr>
        <w:t xml:space="preserve">echnologies and </w:t>
      </w:r>
      <w:r w:rsidR="00303762">
        <w:rPr>
          <w:rFonts w:ascii="Times New Roman" w:hAnsi="Times New Roman"/>
          <w:b/>
        </w:rPr>
        <w:t>P</w:t>
      </w:r>
      <w:r w:rsidR="00056101" w:rsidRPr="00056101">
        <w:rPr>
          <w:rFonts w:ascii="Times New Roman" w:hAnsi="Times New Roman"/>
          <w:b/>
        </w:rPr>
        <w:t>ractices</w:t>
      </w:r>
    </w:p>
    <w:p w:rsidR="00056101" w:rsidRDefault="00056101" w:rsidP="00ED3BAE">
      <w:pPr>
        <w:pStyle w:val="ListParagraph"/>
        <w:spacing w:after="0" w:line="240" w:lineRule="auto"/>
        <w:jc w:val="both"/>
        <w:rPr>
          <w:b/>
        </w:rPr>
      </w:pPr>
    </w:p>
    <w:p w:rsidR="00056101" w:rsidRDefault="00303762" w:rsidP="00ED3BAE">
      <w:pPr>
        <w:spacing w:after="0" w:line="240" w:lineRule="auto"/>
        <w:jc w:val="both"/>
      </w:pPr>
      <w:r>
        <w:rPr>
          <w:rFonts w:ascii="Times New Roman" w:hAnsi="Times New Roman"/>
        </w:rPr>
        <w:t>One of the key functions of agricultural extens</w:t>
      </w:r>
      <w:r w:rsidR="00F03F12">
        <w:rPr>
          <w:rFonts w:ascii="Times New Roman" w:hAnsi="Times New Roman"/>
        </w:rPr>
        <w:t>ion identified earlier in this P</w:t>
      </w:r>
      <w:r>
        <w:rPr>
          <w:rFonts w:ascii="Times New Roman" w:hAnsi="Times New Roman"/>
        </w:rPr>
        <w:t xml:space="preserve">olicy is: </w:t>
      </w:r>
      <w:r w:rsidR="00F03F12">
        <w:rPr>
          <w:rFonts w:ascii="Times New Roman" w:hAnsi="Times New Roman"/>
        </w:rPr>
        <w:t>To s</w:t>
      </w:r>
      <w:r w:rsidR="000E10AD" w:rsidRPr="000E10AD">
        <w:rPr>
          <w:rFonts w:ascii="Times New Roman" w:hAnsi="Times New Roman"/>
        </w:rPr>
        <w:t>ource and transform research-based and indigenous knowledge of improved technologies and practices that are remunerative into extension messages and materials</w:t>
      </w:r>
      <w:r>
        <w:rPr>
          <w:rFonts w:ascii="Times New Roman" w:hAnsi="Times New Roman"/>
        </w:rPr>
        <w:t xml:space="preserve">.  </w:t>
      </w:r>
      <w:r w:rsidR="00FC27AC">
        <w:rPr>
          <w:rFonts w:ascii="Times New Roman" w:hAnsi="Times New Roman"/>
        </w:rPr>
        <w:t xml:space="preserve">To perform this function, new </w:t>
      </w:r>
      <w:r w:rsidR="008E30BA">
        <w:rPr>
          <w:rFonts w:ascii="Times New Roman" w:hAnsi="Times New Roman"/>
        </w:rPr>
        <w:t xml:space="preserve">innovative </w:t>
      </w:r>
      <w:r w:rsidR="00FC27AC">
        <w:rPr>
          <w:rFonts w:ascii="Times New Roman" w:hAnsi="Times New Roman"/>
        </w:rPr>
        <w:t>ways of engaging research and extension, and others</w:t>
      </w:r>
      <w:r w:rsidR="008E30BA">
        <w:rPr>
          <w:rFonts w:ascii="Times New Roman" w:hAnsi="Times New Roman"/>
        </w:rPr>
        <w:t xml:space="preserve">—including farmers—who </w:t>
      </w:r>
      <w:r w:rsidR="00FC27AC">
        <w:rPr>
          <w:rFonts w:ascii="Times New Roman" w:hAnsi="Times New Roman"/>
        </w:rPr>
        <w:t xml:space="preserve">have evidence-based practices, need to be identified and tested.  </w:t>
      </w:r>
    </w:p>
    <w:p w:rsidR="00056101" w:rsidRDefault="00056101" w:rsidP="00ED3BAE">
      <w:pPr>
        <w:spacing w:after="0" w:line="240" w:lineRule="auto"/>
        <w:jc w:val="both"/>
      </w:pPr>
    </w:p>
    <w:p w:rsidR="00056101" w:rsidRDefault="00FC27AC" w:rsidP="00ED3BAE">
      <w:pPr>
        <w:spacing w:after="0" w:line="240" w:lineRule="auto"/>
        <w:jc w:val="both"/>
      </w:pPr>
      <w:r>
        <w:rPr>
          <w:rFonts w:ascii="Times New Roman" w:hAnsi="Times New Roman"/>
        </w:rPr>
        <w:t xml:space="preserve">The Policy supports experimenting with the establishment of a </w:t>
      </w:r>
      <w:r w:rsidR="00F03F12">
        <w:rPr>
          <w:rFonts w:ascii="Times New Roman" w:hAnsi="Times New Roman"/>
        </w:rPr>
        <w:t xml:space="preserve">national-level </w:t>
      </w:r>
      <w:r>
        <w:rPr>
          <w:rFonts w:ascii="Times New Roman" w:hAnsi="Times New Roman"/>
        </w:rPr>
        <w:t>“Best Practices Group”</w:t>
      </w:r>
      <w:r w:rsidR="008E30BA">
        <w:rPr>
          <w:rFonts w:ascii="Times New Roman" w:hAnsi="Times New Roman"/>
        </w:rPr>
        <w:t>, having the primary aim of</w:t>
      </w:r>
      <w:r>
        <w:rPr>
          <w:rFonts w:ascii="Times New Roman" w:hAnsi="Times New Roman"/>
        </w:rPr>
        <w:t xml:space="preserve"> producing evidence-based extension messages and materials encompassed in the concept of “Best Practices”.  A best practice is a technique or methodology that, through experience and research, has proved to rel</w:t>
      </w:r>
      <w:r w:rsidR="00B116B9">
        <w:rPr>
          <w:rFonts w:ascii="Times New Roman" w:hAnsi="Times New Roman"/>
        </w:rPr>
        <w:t xml:space="preserve">iably lead to a desired result.  </w:t>
      </w:r>
      <w:r>
        <w:rPr>
          <w:rFonts w:ascii="Times New Roman" w:hAnsi="Times New Roman"/>
        </w:rPr>
        <w:t xml:space="preserve">It is a method or technique that has consistently shown results superior to those achieved with other means, and that is used as a benchmark.  A commitment to using the best practices in any field is a commitment to using all the knowledge and technology at one’s disposal to ensure success. </w:t>
      </w:r>
      <w:r>
        <w:rPr>
          <w:rStyle w:val="FootnoteReference"/>
          <w:rFonts w:ascii="Times New Roman" w:hAnsi="Times New Roman"/>
        </w:rPr>
        <w:footnoteReference w:id="13"/>
      </w:r>
    </w:p>
    <w:p w:rsidR="00056101" w:rsidRDefault="00056101" w:rsidP="00ED3BAE">
      <w:pPr>
        <w:spacing w:after="0" w:line="240" w:lineRule="auto"/>
        <w:jc w:val="both"/>
      </w:pPr>
    </w:p>
    <w:p w:rsidR="00056101" w:rsidRDefault="00FC27AC" w:rsidP="00990071">
      <w:pPr>
        <w:spacing w:after="0" w:line="240" w:lineRule="auto"/>
        <w:jc w:val="both"/>
        <w:rPr>
          <w:rFonts w:ascii="Times New Roman" w:hAnsi="Times New Roman"/>
        </w:rPr>
      </w:pPr>
      <w:r>
        <w:rPr>
          <w:rFonts w:ascii="Times New Roman" w:hAnsi="Times New Roman"/>
        </w:rPr>
        <w:t xml:space="preserve">Initial objectives of the </w:t>
      </w:r>
      <w:r w:rsidR="008E30BA">
        <w:rPr>
          <w:rFonts w:ascii="Times New Roman" w:hAnsi="Times New Roman"/>
        </w:rPr>
        <w:t xml:space="preserve">national </w:t>
      </w:r>
      <w:r>
        <w:rPr>
          <w:rFonts w:ascii="Times New Roman" w:hAnsi="Times New Roman"/>
        </w:rPr>
        <w:t>Best Practices Group are to:  identify Best Practices</w:t>
      </w:r>
      <w:r w:rsidR="001B625F">
        <w:rPr>
          <w:rFonts w:ascii="Times New Roman" w:hAnsi="Times New Roman"/>
        </w:rPr>
        <w:t>;</w:t>
      </w:r>
      <w:r w:rsidR="008E30BA">
        <w:rPr>
          <w:rFonts w:ascii="Times New Roman" w:hAnsi="Times New Roman"/>
        </w:rPr>
        <w:t xml:space="preserve"> package practices into extension messages and materials in the form of tools in extension tool kits; identify researchable problems as the basis for research and development of Best Practices; and find practical answers and innovative solutions to the range of challenges farmers and their organizations face.  Best Practices are not limited to production practices, but also consider</w:t>
      </w:r>
      <w:r w:rsidR="00F03F12">
        <w:rPr>
          <w:rFonts w:ascii="Times New Roman" w:hAnsi="Times New Roman"/>
        </w:rPr>
        <w:t xml:space="preserve"> for example</w:t>
      </w:r>
      <w:r w:rsidR="008E30BA">
        <w:rPr>
          <w:rFonts w:ascii="Times New Roman" w:hAnsi="Times New Roman"/>
        </w:rPr>
        <w:t xml:space="preserve">, processing, marketing, financing, and ICT, as well as other </w:t>
      </w:r>
      <w:r w:rsidR="00820AEE">
        <w:rPr>
          <w:rFonts w:ascii="Times New Roman" w:hAnsi="Times New Roman"/>
        </w:rPr>
        <w:t>types of Best Practices that advance agriculture in Liberia</w:t>
      </w:r>
      <w:r w:rsidR="008E30BA">
        <w:rPr>
          <w:rFonts w:ascii="Times New Roman" w:hAnsi="Times New Roman"/>
        </w:rPr>
        <w:t xml:space="preserve">. </w:t>
      </w:r>
      <w:r w:rsidR="00B116B9">
        <w:rPr>
          <w:rFonts w:ascii="Times New Roman" w:hAnsi="Times New Roman"/>
        </w:rPr>
        <w:t xml:space="preserve"> </w:t>
      </w:r>
      <w:r w:rsidR="008E30BA">
        <w:rPr>
          <w:rFonts w:ascii="Times New Roman" w:hAnsi="Times New Roman"/>
        </w:rPr>
        <w:t xml:space="preserve">To bring field-based Best Practices to the national-level, pilot experiments with </w:t>
      </w:r>
      <w:r w:rsidR="00820AEE">
        <w:rPr>
          <w:rFonts w:ascii="Times New Roman" w:hAnsi="Times New Roman"/>
        </w:rPr>
        <w:t>county, and potentially district,</w:t>
      </w:r>
      <w:r w:rsidR="008E30BA">
        <w:rPr>
          <w:rFonts w:ascii="Times New Roman" w:hAnsi="Times New Roman"/>
        </w:rPr>
        <w:t xml:space="preserve"> Best Practice Group</w:t>
      </w:r>
      <w:r w:rsidR="00820AEE">
        <w:rPr>
          <w:rFonts w:ascii="Times New Roman" w:hAnsi="Times New Roman"/>
        </w:rPr>
        <w:t>s</w:t>
      </w:r>
      <w:r w:rsidR="008E30BA">
        <w:rPr>
          <w:rFonts w:ascii="Times New Roman" w:hAnsi="Times New Roman"/>
        </w:rPr>
        <w:t xml:space="preserve"> </w:t>
      </w:r>
      <w:r w:rsidR="003D2AAE">
        <w:rPr>
          <w:rFonts w:ascii="Times New Roman" w:hAnsi="Times New Roman"/>
        </w:rPr>
        <w:t>are to be carried-out</w:t>
      </w:r>
      <w:r w:rsidR="008E30BA">
        <w:rPr>
          <w:rFonts w:ascii="Times New Roman" w:hAnsi="Times New Roman"/>
        </w:rPr>
        <w:t>.</w:t>
      </w:r>
    </w:p>
    <w:p w:rsidR="00990071" w:rsidRDefault="00990071" w:rsidP="00ED3BAE">
      <w:pPr>
        <w:spacing w:after="0" w:line="240" w:lineRule="auto"/>
        <w:jc w:val="both"/>
        <w:rPr>
          <w:rFonts w:ascii="Times New Roman" w:hAnsi="Times New Roman"/>
        </w:rPr>
      </w:pPr>
    </w:p>
    <w:p w:rsidR="00990071" w:rsidRDefault="00990071" w:rsidP="00ED3BAE">
      <w:pPr>
        <w:spacing w:after="0" w:line="240" w:lineRule="auto"/>
        <w:jc w:val="both"/>
        <w:rPr>
          <w:rFonts w:ascii="Times New Roman" w:hAnsi="Times New Roman"/>
          <w:b/>
        </w:rPr>
      </w:pPr>
      <w:r>
        <w:rPr>
          <w:rFonts w:ascii="Times New Roman" w:hAnsi="Times New Roman"/>
          <w:b/>
        </w:rPr>
        <w:t>3.5.4</w:t>
      </w:r>
      <w:r>
        <w:rPr>
          <w:rFonts w:ascii="Times New Roman" w:hAnsi="Times New Roman"/>
          <w:b/>
        </w:rPr>
        <w:tab/>
        <w:t>Coordination Mechanism</w:t>
      </w:r>
    </w:p>
    <w:p w:rsidR="00990071" w:rsidRPr="00990071" w:rsidRDefault="00990071" w:rsidP="00ED3BAE">
      <w:pPr>
        <w:spacing w:after="0" w:line="240" w:lineRule="auto"/>
        <w:jc w:val="both"/>
        <w:rPr>
          <w:rFonts w:ascii="Times New Roman" w:hAnsi="Times New Roman"/>
          <w:b/>
        </w:rPr>
      </w:pPr>
    </w:p>
    <w:p w:rsidR="00990071" w:rsidRPr="00990071" w:rsidRDefault="00990071" w:rsidP="00ED3BAE">
      <w:pPr>
        <w:spacing w:after="0" w:line="240" w:lineRule="auto"/>
        <w:jc w:val="both"/>
      </w:pPr>
      <w:r w:rsidRPr="00990071">
        <w:rPr>
          <w:rFonts w:ascii="Times New Roman" w:hAnsi="Times New Roman"/>
          <w:color w:val="000000"/>
        </w:rPr>
        <w:t xml:space="preserve">The effective coordination and implementation of the National Policy hinges on the appropriate harmonization and linkage of all actors.  This will be coordinated along three major platforms, properly decentralized with membership open to major operatives, where applicable at the different levels of the decentralized system.  The three platforms will be coordinated through the National Extension Platform under the Agricultural Coordination Committee (ACC) as a technical working group to be duplicated in the </w:t>
      </w:r>
      <w:r w:rsidR="00FF7D23">
        <w:rPr>
          <w:rFonts w:ascii="Times New Roman" w:hAnsi="Times New Roman"/>
          <w:color w:val="000000"/>
        </w:rPr>
        <w:t>c</w:t>
      </w:r>
      <w:r w:rsidRPr="00990071">
        <w:rPr>
          <w:rFonts w:ascii="Times New Roman" w:hAnsi="Times New Roman"/>
          <w:color w:val="000000"/>
        </w:rPr>
        <w:t>ounties</w:t>
      </w:r>
      <w:r w:rsidR="00177E09">
        <w:rPr>
          <w:rFonts w:ascii="Times New Roman" w:hAnsi="Times New Roman"/>
          <w:color w:val="000000"/>
        </w:rPr>
        <w:t xml:space="preserve">.  </w:t>
      </w:r>
      <w:r w:rsidRPr="00990071">
        <w:rPr>
          <w:rFonts w:ascii="Times New Roman" w:hAnsi="Times New Roman"/>
          <w:color w:val="000000"/>
        </w:rPr>
        <w:t>The</w:t>
      </w:r>
      <w:r>
        <w:rPr>
          <w:rFonts w:ascii="Times New Roman" w:hAnsi="Times New Roman"/>
          <w:color w:val="000000"/>
        </w:rPr>
        <w:t xml:space="preserve"> Implementat</w:t>
      </w:r>
      <w:r w:rsidR="00AD73D4">
        <w:rPr>
          <w:rFonts w:ascii="Times New Roman" w:hAnsi="Times New Roman"/>
          <w:color w:val="000000"/>
        </w:rPr>
        <w:t>i</w:t>
      </w:r>
      <w:r>
        <w:rPr>
          <w:rFonts w:ascii="Times New Roman" w:hAnsi="Times New Roman"/>
          <w:color w:val="000000"/>
        </w:rPr>
        <w:t>on Strategy</w:t>
      </w:r>
      <w:r w:rsidRPr="00990071">
        <w:rPr>
          <w:rFonts w:ascii="Times New Roman" w:hAnsi="Times New Roman"/>
          <w:color w:val="000000"/>
        </w:rPr>
        <w:t xml:space="preserve"> of this Policy document, to be developed, will detail the structure and implementation of the coordination mechanism.</w:t>
      </w:r>
    </w:p>
    <w:p w:rsidR="00457957" w:rsidRDefault="00DA0425" w:rsidP="00ED3BAE">
      <w:pPr>
        <w:spacing w:line="240" w:lineRule="auto"/>
        <w:jc w:val="both"/>
        <w:rPr>
          <w:rFonts w:ascii="Times New Roman" w:hAnsi="Times New Roman"/>
          <w:b/>
        </w:rPr>
      </w:pPr>
      <w:r w:rsidRPr="003556E4">
        <w:rPr>
          <w:rFonts w:ascii="Times New Roman" w:hAnsi="Times New Roman"/>
          <w:b/>
        </w:rPr>
        <w:t xml:space="preserve">4.0 </w:t>
      </w:r>
      <w:r w:rsidR="00CE4F2A">
        <w:rPr>
          <w:rFonts w:ascii="Times New Roman" w:hAnsi="Times New Roman"/>
          <w:b/>
        </w:rPr>
        <w:tab/>
        <w:t>THE WAY FORWARD</w:t>
      </w:r>
    </w:p>
    <w:p w:rsidR="00457957" w:rsidRPr="00457957" w:rsidRDefault="00457957" w:rsidP="00ED3BAE">
      <w:pPr>
        <w:spacing w:line="240" w:lineRule="auto"/>
        <w:jc w:val="both"/>
        <w:rPr>
          <w:rFonts w:ascii="Times New Roman" w:hAnsi="Times New Roman"/>
        </w:rPr>
      </w:pPr>
      <w:r>
        <w:rPr>
          <w:rFonts w:ascii="Times New Roman" w:hAnsi="Times New Roman"/>
        </w:rPr>
        <w:t xml:space="preserve">The Policy supports and promotes high-quality AEAS that are responsive to the </w:t>
      </w:r>
      <w:r w:rsidR="00F81837">
        <w:rPr>
          <w:rFonts w:ascii="Times New Roman" w:hAnsi="Times New Roman"/>
        </w:rPr>
        <w:t xml:space="preserve">wide-range </w:t>
      </w:r>
      <w:r w:rsidR="00B116B9">
        <w:rPr>
          <w:rFonts w:ascii="Times New Roman" w:hAnsi="Times New Roman"/>
        </w:rPr>
        <w:t xml:space="preserve">of Liberia’s AEAS stakeholders.  </w:t>
      </w:r>
      <w:r w:rsidR="004073C2">
        <w:rPr>
          <w:rFonts w:ascii="Times New Roman" w:hAnsi="Times New Roman"/>
        </w:rPr>
        <w:t>To this end, i</w:t>
      </w:r>
      <w:r>
        <w:rPr>
          <w:rFonts w:ascii="Times New Roman" w:hAnsi="Times New Roman"/>
        </w:rPr>
        <w:t>mplementation of some aspects of the AEAS Policy can begin</w:t>
      </w:r>
      <w:r w:rsidR="00820AEE">
        <w:rPr>
          <w:rFonts w:ascii="Times New Roman" w:hAnsi="Times New Roman"/>
        </w:rPr>
        <w:t xml:space="preserve"> immediately or</w:t>
      </w:r>
      <w:r w:rsidR="00B116B9">
        <w:rPr>
          <w:rFonts w:ascii="Times New Roman" w:hAnsi="Times New Roman"/>
        </w:rPr>
        <w:t xml:space="preserve"> in the near term.  </w:t>
      </w:r>
      <w:r>
        <w:rPr>
          <w:rFonts w:ascii="Times New Roman" w:hAnsi="Times New Roman"/>
        </w:rPr>
        <w:t>T</w:t>
      </w:r>
      <w:r w:rsidR="001C19DE" w:rsidRPr="001C19DE">
        <w:rPr>
          <w:rFonts w:ascii="Times New Roman" w:hAnsi="Times New Roman"/>
        </w:rPr>
        <w:t>he Task Force charged with the development of this Policy acknowledges that an Implemen</w:t>
      </w:r>
      <w:r w:rsidR="001C19DE">
        <w:rPr>
          <w:rFonts w:ascii="Times New Roman" w:hAnsi="Times New Roman"/>
        </w:rPr>
        <w:t xml:space="preserve">tation Strategy will </w:t>
      </w:r>
      <w:r>
        <w:rPr>
          <w:rFonts w:ascii="Times New Roman" w:hAnsi="Times New Roman"/>
        </w:rPr>
        <w:t>facilitate</w:t>
      </w:r>
      <w:r w:rsidR="001C19DE">
        <w:rPr>
          <w:rFonts w:ascii="Times New Roman" w:hAnsi="Times New Roman"/>
        </w:rPr>
        <w:t xml:space="preserve"> mov</w:t>
      </w:r>
      <w:r>
        <w:rPr>
          <w:rFonts w:ascii="Times New Roman" w:hAnsi="Times New Roman"/>
        </w:rPr>
        <w:t>ing</w:t>
      </w:r>
      <w:r w:rsidR="001C19DE" w:rsidRPr="001C19DE">
        <w:rPr>
          <w:rFonts w:ascii="Times New Roman" w:hAnsi="Times New Roman"/>
        </w:rPr>
        <w:t xml:space="preserve"> the AEAS policy agenda</w:t>
      </w:r>
      <w:r>
        <w:rPr>
          <w:rFonts w:ascii="Times New Roman" w:hAnsi="Times New Roman"/>
        </w:rPr>
        <w:t xml:space="preserve"> in its entirety </w:t>
      </w:r>
      <w:r w:rsidR="004073C2">
        <w:rPr>
          <w:rFonts w:ascii="Times New Roman" w:hAnsi="Times New Roman"/>
        </w:rPr>
        <w:t xml:space="preserve">further </w:t>
      </w:r>
      <w:r w:rsidR="001C19DE" w:rsidRPr="001C19DE">
        <w:rPr>
          <w:rFonts w:ascii="Times New Roman" w:hAnsi="Times New Roman"/>
        </w:rPr>
        <w:t>forward.</w:t>
      </w:r>
      <w:r w:rsidR="001C19DE">
        <w:rPr>
          <w:rFonts w:ascii="Times New Roman" w:hAnsi="Times New Roman"/>
        </w:rPr>
        <w:t xml:space="preserve">  </w:t>
      </w:r>
      <w:r>
        <w:rPr>
          <w:rFonts w:ascii="Times New Roman" w:hAnsi="Times New Roman"/>
        </w:rPr>
        <w:t xml:space="preserve">Thus, </w:t>
      </w:r>
      <w:r w:rsidR="00F81837">
        <w:rPr>
          <w:rFonts w:ascii="Times New Roman" w:hAnsi="Times New Roman"/>
        </w:rPr>
        <w:t xml:space="preserve">under the leadership and coordination of the MOA, </w:t>
      </w:r>
      <w:r>
        <w:rPr>
          <w:rFonts w:ascii="Times New Roman" w:hAnsi="Times New Roman"/>
        </w:rPr>
        <w:t>an I</w:t>
      </w:r>
      <w:r w:rsidR="001C19DE" w:rsidRPr="001C19DE">
        <w:rPr>
          <w:rFonts w:ascii="Times New Roman" w:hAnsi="Times New Roman"/>
        </w:rPr>
        <w:t xml:space="preserve">mplementation Strategy will be developed to detail the </w:t>
      </w:r>
      <w:r w:rsidR="00990071">
        <w:rPr>
          <w:rFonts w:ascii="Times New Roman" w:hAnsi="Times New Roman"/>
        </w:rPr>
        <w:t xml:space="preserve">various </w:t>
      </w:r>
      <w:r w:rsidR="001C19DE" w:rsidRPr="001C19DE">
        <w:rPr>
          <w:rFonts w:ascii="Times New Roman" w:hAnsi="Times New Roman"/>
        </w:rPr>
        <w:t>mechanisms whereby policy interventions</w:t>
      </w:r>
      <w:r>
        <w:rPr>
          <w:rFonts w:ascii="Times New Roman" w:hAnsi="Times New Roman"/>
        </w:rPr>
        <w:t xml:space="preserve"> are put into </w:t>
      </w:r>
      <w:r w:rsidR="00820AEE">
        <w:rPr>
          <w:rFonts w:ascii="Times New Roman" w:hAnsi="Times New Roman"/>
        </w:rPr>
        <w:t xml:space="preserve">observable </w:t>
      </w:r>
      <w:r>
        <w:rPr>
          <w:rFonts w:ascii="Times New Roman" w:hAnsi="Times New Roman"/>
        </w:rPr>
        <w:t xml:space="preserve">practice.  </w:t>
      </w:r>
      <w:r w:rsidR="001C19DE" w:rsidRPr="001C19DE">
        <w:rPr>
          <w:rFonts w:ascii="Times New Roman" w:hAnsi="Times New Roman"/>
        </w:rPr>
        <w:t xml:space="preserve">   </w:t>
      </w:r>
    </w:p>
    <w:p w:rsidR="009B6E16" w:rsidRPr="00B54214" w:rsidRDefault="009B6E16" w:rsidP="00ED3BAE">
      <w:pPr>
        <w:pStyle w:val="ListParagraph"/>
        <w:spacing w:line="240" w:lineRule="auto"/>
        <w:jc w:val="both"/>
        <w:rPr>
          <w:rFonts w:ascii="Times New Roman" w:hAnsi="Times New Roman"/>
          <w:noProof/>
        </w:rPr>
      </w:pPr>
    </w:p>
    <w:sectPr w:rsidR="009B6E16" w:rsidRPr="00B54214" w:rsidSect="00712F3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40" w:rsidRDefault="00987040">
      <w:r>
        <w:separator/>
      </w:r>
    </w:p>
  </w:endnote>
  <w:endnote w:type="continuationSeparator" w:id="0">
    <w:p w:rsidR="00987040" w:rsidRDefault="0098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20" w:rsidRDefault="000C5AD9" w:rsidP="002A6B82">
    <w:pPr>
      <w:pStyle w:val="Footer"/>
      <w:framePr w:wrap="around" w:vAnchor="text" w:hAnchor="margin" w:xAlign="center" w:y="1"/>
      <w:rPr>
        <w:rStyle w:val="PageNumber"/>
      </w:rPr>
    </w:pPr>
    <w:r>
      <w:rPr>
        <w:rStyle w:val="PageNumber"/>
      </w:rPr>
      <w:fldChar w:fldCharType="begin"/>
    </w:r>
    <w:r w:rsidR="00286120">
      <w:rPr>
        <w:rStyle w:val="PageNumber"/>
      </w:rPr>
      <w:instrText xml:space="preserve">PAGE  </w:instrText>
    </w:r>
    <w:r>
      <w:rPr>
        <w:rStyle w:val="PageNumber"/>
      </w:rPr>
      <w:fldChar w:fldCharType="end"/>
    </w:r>
  </w:p>
  <w:p w:rsidR="00286120" w:rsidRDefault="002861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20" w:rsidRDefault="000C5AD9">
    <w:pPr>
      <w:pStyle w:val="Footer"/>
      <w:framePr w:wrap="around" w:vAnchor="text" w:hAnchor="page" w:x="6083" w:y="-2"/>
      <w:rPr>
        <w:rStyle w:val="PageNumber"/>
        <w:rFonts w:ascii="Times New Roman" w:hAnsi="Times New Roman"/>
      </w:rPr>
    </w:pPr>
    <w:r w:rsidRPr="000E10AD">
      <w:rPr>
        <w:rStyle w:val="PageNumber"/>
        <w:rFonts w:ascii="Times New Roman" w:hAnsi="Times New Roman"/>
      </w:rPr>
      <w:fldChar w:fldCharType="begin"/>
    </w:r>
    <w:r w:rsidR="00286120" w:rsidRPr="000E10AD">
      <w:rPr>
        <w:rStyle w:val="PageNumber"/>
        <w:rFonts w:ascii="Times New Roman" w:hAnsi="Times New Roman"/>
      </w:rPr>
      <w:instrText xml:space="preserve">PAGE  </w:instrText>
    </w:r>
    <w:r w:rsidRPr="000E10AD">
      <w:rPr>
        <w:rStyle w:val="PageNumber"/>
        <w:rFonts w:ascii="Times New Roman" w:hAnsi="Times New Roman"/>
      </w:rPr>
      <w:fldChar w:fldCharType="separate"/>
    </w:r>
    <w:r w:rsidR="00620F11">
      <w:rPr>
        <w:rStyle w:val="PageNumber"/>
        <w:rFonts w:ascii="Times New Roman" w:hAnsi="Times New Roman"/>
        <w:noProof/>
      </w:rPr>
      <w:t>11</w:t>
    </w:r>
    <w:r w:rsidRPr="000E10AD">
      <w:rPr>
        <w:rStyle w:val="PageNumber"/>
        <w:rFonts w:ascii="Times New Roman" w:hAnsi="Times New Roman"/>
      </w:rPr>
      <w:fldChar w:fldCharType="end"/>
    </w:r>
  </w:p>
  <w:p w:rsidR="00286120" w:rsidRDefault="00286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40" w:rsidRDefault="00987040">
      <w:r>
        <w:separator/>
      </w:r>
    </w:p>
  </w:footnote>
  <w:footnote w:type="continuationSeparator" w:id="0">
    <w:p w:rsidR="00987040" w:rsidRDefault="00987040">
      <w:r>
        <w:continuationSeparator/>
      </w:r>
    </w:p>
  </w:footnote>
  <w:footnote w:id="1">
    <w:p w:rsidR="00286120" w:rsidRDefault="00286120" w:rsidP="00A70815">
      <w:pPr>
        <w:pStyle w:val="FootnoteText"/>
        <w:ind w:left="90" w:hanging="90"/>
      </w:pPr>
      <w:r>
        <w:rPr>
          <w:rStyle w:val="FootnoteReference"/>
        </w:rPr>
        <w:footnoteRef/>
      </w:r>
      <w:r w:rsidR="00A70815">
        <w:t xml:space="preserve"> </w:t>
      </w:r>
      <w:r>
        <w:t xml:space="preserve">These figures from Liberia’s </w:t>
      </w:r>
      <w:r w:rsidRPr="00A75B4C">
        <w:rPr>
          <w:i/>
        </w:rPr>
        <w:t>2008 Population and Housing Census</w:t>
      </w:r>
      <w:r>
        <w:t>.  World Bank 2011 figures indicate the population has increased to 4.1 million see:  http://data.worldbank.org/country/Liberia</w:t>
      </w:r>
    </w:p>
  </w:footnote>
  <w:footnote w:id="2">
    <w:p w:rsidR="00286120" w:rsidRDefault="00286120" w:rsidP="00A70815">
      <w:pPr>
        <w:pStyle w:val="FootnoteText"/>
        <w:ind w:left="90" w:hanging="90"/>
      </w:pPr>
      <w:r>
        <w:rPr>
          <w:rStyle w:val="FootnoteReference"/>
        </w:rPr>
        <w:footnoteRef/>
      </w:r>
      <w:r>
        <w:tab/>
        <w:t xml:space="preserve">National Transitional Government of Liberia, United Nations Mission in Liberia.  (2004).  </w:t>
      </w:r>
      <w:r w:rsidRPr="00F161F0">
        <w:rPr>
          <w:i/>
        </w:rPr>
        <w:t>A Profile Ministry of Agriculture</w:t>
      </w:r>
      <w:r>
        <w:t>, UNMIL Civil Affairs Section, Monrovia, Liberia, 6 December 2004.</w:t>
      </w:r>
    </w:p>
  </w:footnote>
  <w:footnote w:id="3">
    <w:p w:rsidR="00286120" w:rsidRDefault="00286120" w:rsidP="00A70815">
      <w:pPr>
        <w:pStyle w:val="FootnoteText"/>
        <w:ind w:left="90" w:hanging="90"/>
      </w:pPr>
      <w:r>
        <w:rPr>
          <w:rStyle w:val="FootnoteReference"/>
        </w:rPr>
        <w:footnoteRef/>
      </w:r>
      <w:r>
        <w:t xml:space="preserve"> Technical Assistance Services in Support the Ministry of Agriculture (TASMOA).  (2009).  </w:t>
      </w:r>
      <w:r w:rsidRPr="000E10AD">
        <w:rPr>
          <w:i/>
        </w:rPr>
        <w:t>Strategic Assessment of the MOA</w:t>
      </w:r>
      <w:r>
        <w:t>.  Monrovia, Liberia.</w:t>
      </w:r>
    </w:p>
  </w:footnote>
  <w:footnote w:id="4">
    <w:p w:rsidR="00286120" w:rsidRDefault="00286120" w:rsidP="00A70815">
      <w:pPr>
        <w:pStyle w:val="FootnoteText"/>
        <w:ind w:left="90" w:hanging="90"/>
      </w:pPr>
      <w:r>
        <w:rPr>
          <w:rStyle w:val="FootnoteReference"/>
        </w:rPr>
        <w:footnoteRef/>
      </w:r>
      <w:r>
        <w:t xml:space="preserve"> This is an improved version of the MOA’s mandate that considers the current program of the Government of Liberia on Public Administration and Decentralization as contained in the </w:t>
      </w:r>
      <w:r w:rsidRPr="000E10AD">
        <w:rPr>
          <w:i/>
        </w:rPr>
        <w:t>Smaller Government, Better Service</w:t>
      </w:r>
      <w:r>
        <w:t>,</w:t>
      </w:r>
      <w:r w:rsidR="00A70815">
        <w:t xml:space="preserve"> </w:t>
      </w:r>
      <w:r>
        <w:t>Civil Service Reform Strategy (2008-2011), June 2008.</w:t>
      </w:r>
    </w:p>
  </w:footnote>
  <w:footnote w:id="5">
    <w:p w:rsidR="00286120" w:rsidRDefault="00286120" w:rsidP="00286120">
      <w:pPr>
        <w:pStyle w:val="FootnoteText"/>
        <w:ind w:left="90" w:hanging="90"/>
      </w:pPr>
      <w:r>
        <w:rPr>
          <w:rStyle w:val="FootnoteReference"/>
        </w:rPr>
        <w:footnoteRef/>
      </w:r>
      <w:r>
        <w:t xml:space="preserve"> This would include, for example, knowledge of land rights.</w:t>
      </w:r>
    </w:p>
  </w:footnote>
  <w:footnote w:id="6">
    <w:p w:rsidR="00286120" w:rsidRPr="00BF38E1" w:rsidRDefault="00286120" w:rsidP="00BF38E1">
      <w:pPr>
        <w:spacing w:after="0" w:line="240" w:lineRule="auto"/>
        <w:ind w:left="90" w:hanging="90"/>
        <w:rPr>
          <w:rFonts w:ascii="Times New Roman" w:hAnsi="Times New Roman"/>
          <w:sz w:val="20"/>
          <w:szCs w:val="20"/>
        </w:rPr>
      </w:pPr>
      <w:r>
        <w:rPr>
          <w:rStyle w:val="FootnoteReference"/>
        </w:rPr>
        <w:footnoteRef/>
      </w:r>
      <w:r>
        <w:t xml:space="preserve"> </w:t>
      </w:r>
      <w:r w:rsidRPr="00BF38E1">
        <w:rPr>
          <w:rFonts w:ascii="Times New Roman" w:hAnsi="Times New Roman"/>
          <w:sz w:val="20"/>
          <w:szCs w:val="20"/>
        </w:rPr>
        <w:t xml:space="preserve">Adapted from:  Davis, K., &amp; Heemskerk, W.  (2012). Investment in </w:t>
      </w:r>
      <w:r w:rsidR="00A70815">
        <w:rPr>
          <w:rFonts w:ascii="Times New Roman" w:hAnsi="Times New Roman"/>
          <w:sz w:val="20"/>
          <w:szCs w:val="20"/>
        </w:rPr>
        <w:t>E</w:t>
      </w:r>
      <w:r w:rsidRPr="00BF38E1">
        <w:rPr>
          <w:rFonts w:ascii="Times New Roman" w:hAnsi="Times New Roman"/>
          <w:sz w:val="20"/>
          <w:szCs w:val="20"/>
        </w:rPr>
        <w:t xml:space="preserve">xtension and </w:t>
      </w:r>
      <w:r w:rsidR="00A70815">
        <w:rPr>
          <w:rFonts w:ascii="Times New Roman" w:hAnsi="Times New Roman"/>
          <w:sz w:val="20"/>
          <w:szCs w:val="20"/>
        </w:rPr>
        <w:t>A</w:t>
      </w:r>
      <w:r w:rsidRPr="00BF38E1">
        <w:rPr>
          <w:rFonts w:ascii="Times New Roman" w:hAnsi="Times New Roman"/>
          <w:sz w:val="20"/>
          <w:szCs w:val="20"/>
        </w:rPr>
        <w:t xml:space="preserve">dvisory </w:t>
      </w:r>
      <w:r w:rsidR="00A70815">
        <w:rPr>
          <w:rFonts w:ascii="Times New Roman" w:hAnsi="Times New Roman"/>
          <w:sz w:val="20"/>
          <w:szCs w:val="20"/>
        </w:rPr>
        <w:t>S</w:t>
      </w:r>
      <w:r w:rsidRPr="00BF38E1">
        <w:rPr>
          <w:rFonts w:ascii="Times New Roman" w:hAnsi="Times New Roman"/>
          <w:sz w:val="20"/>
          <w:szCs w:val="20"/>
        </w:rPr>
        <w:t xml:space="preserve">ervices as </w:t>
      </w:r>
      <w:r w:rsidR="00A70815">
        <w:rPr>
          <w:rFonts w:ascii="Times New Roman" w:hAnsi="Times New Roman"/>
          <w:sz w:val="20"/>
          <w:szCs w:val="20"/>
        </w:rPr>
        <w:t>P</w:t>
      </w:r>
      <w:r w:rsidRPr="00BF38E1">
        <w:rPr>
          <w:rFonts w:ascii="Times New Roman" w:hAnsi="Times New Roman"/>
          <w:sz w:val="20"/>
          <w:szCs w:val="20"/>
        </w:rPr>
        <w:t xml:space="preserve">art of </w:t>
      </w:r>
      <w:r w:rsidR="00A70815">
        <w:rPr>
          <w:rFonts w:ascii="Times New Roman" w:hAnsi="Times New Roman"/>
          <w:sz w:val="20"/>
          <w:szCs w:val="20"/>
        </w:rPr>
        <w:t>A</w:t>
      </w:r>
      <w:r w:rsidRPr="00BF38E1">
        <w:rPr>
          <w:rFonts w:ascii="Times New Roman" w:hAnsi="Times New Roman"/>
          <w:sz w:val="20"/>
          <w:szCs w:val="20"/>
        </w:rPr>
        <w:t xml:space="preserve">gricultural </w:t>
      </w:r>
      <w:r w:rsidR="00A70815">
        <w:rPr>
          <w:rFonts w:ascii="Times New Roman" w:hAnsi="Times New Roman"/>
          <w:sz w:val="20"/>
          <w:szCs w:val="20"/>
        </w:rPr>
        <w:t>I</w:t>
      </w:r>
      <w:r w:rsidRPr="00BF38E1">
        <w:rPr>
          <w:rFonts w:ascii="Times New Roman" w:hAnsi="Times New Roman"/>
          <w:sz w:val="20"/>
          <w:szCs w:val="20"/>
        </w:rPr>
        <w:t xml:space="preserve">nnovation </w:t>
      </w:r>
      <w:r w:rsidR="00A70815">
        <w:rPr>
          <w:rFonts w:ascii="Times New Roman" w:hAnsi="Times New Roman"/>
          <w:sz w:val="20"/>
          <w:szCs w:val="20"/>
        </w:rPr>
        <w:t>S</w:t>
      </w:r>
      <w:r w:rsidRPr="00BF38E1">
        <w:rPr>
          <w:rFonts w:ascii="Times New Roman" w:hAnsi="Times New Roman"/>
          <w:sz w:val="20"/>
          <w:szCs w:val="20"/>
        </w:rPr>
        <w:t xml:space="preserve">ystems.  World Bank.  In </w:t>
      </w:r>
      <w:r w:rsidRPr="00BF38E1">
        <w:rPr>
          <w:rFonts w:ascii="Times New Roman" w:hAnsi="Times New Roman"/>
          <w:i/>
          <w:sz w:val="20"/>
          <w:szCs w:val="20"/>
        </w:rPr>
        <w:t xml:space="preserve">Agricultural </w:t>
      </w:r>
      <w:r w:rsidR="00A70815">
        <w:rPr>
          <w:rFonts w:ascii="Times New Roman" w:hAnsi="Times New Roman"/>
          <w:i/>
          <w:sz w:val="20"/>
          <w:szCs w:val="20"/>
        </w:rPr>
        <w:t>I</w:t>
      </w:r>
      <w:r w:rsidRPr="00BF38E1">
        <w:rPr>
          <w:rFonts w:ascii="Times New Roman" w:hAnsi="Times New Roman"/>
          <w:i/>
          <w:sz w:val="20"/>
          <w:szCs w:val="20"/>
        </w:rPr>
        <w:t xml:space="preserve">nnovation </w:t>
      </w:r>
      <w:r w:rsidR="00A70815">
        <w:rPr>
          <w:rFonts w:ascii="Times New Roman" w:hAnsi="Times New Roman"/>
          <w:i/>
          <w:sz w:val="20"/>
          <w:szCs w:val="20"/>
        </w:rPr>
        <w:t>S</w:t>
      </w:r>
      <w:r w:rsidRPr="00BF38E1">
        <w:rPr>
          <w:rFonts w:ascii="Times New Roman" w:hAnsi="Times New Roman"/>
          <w:i/>
          <w:sz w:val="20"/>
          <w:szCs w:val="20"/>
        </w:rPr>
        <w:t xml:space="preserve">ystems:  An </w:t>
      </w:r>
      <w:r w:rsidR="00A70815">
        <w:rPr>
          <w:rFonts w:ascii="Times New Roman" w:hAnsi="Times New Roman"/>
          <w:i/>
          <w:sz w:val="20"/>
          <w:szCs w:val="20"/>
        </w:rPr>
        <w:t>I</w:t>
      </w:r>
      <w:r w:rsidRPr="00BF38E1">
        <w:rPr>
          <w:rFonts w:ascii="Times New Roman" w:hAnsi="Times New Roman"/>
          <w:i/>
          <w:sz w:val="20"/>
          <w:szCs w:val="20"/>
        </w:rPr>
        <w:t xml:space="preserve">nvestment </w:t>
      </w:r>
      <w:r w:rsidR="00A70815">
        <w:rPr>
          <w:rFonts w:ascii="Times New Roman" w:hAnsi="Times New Roman"/>
          <w:i/>
          <w:sz w:val="20"/>
          <w:szCs w:val="20"/>
        </w:rPr>
        <w:t>S</w:t>
      </w:r>
      <w:r w:rsidRPr="00BF38E1">
        <w:rPr>
          <w:rFonts w:ascii="Times New Roman" w:hAnsi="Times New Roman"/>
          <w:i/>
          <w:sz w:val="20"/>
          <w:szCs w:val="20"/>
        </w:rPr>
        <w:t xml:space="preserve">ourcebook </w:t>
      </w:r>
      <w:r w:rsidRPr="00BF38E1">
        <w:rPr>
          <w:rFonts w:ascii="Times New Roman" w:hAnsi="Times New Roman"/>
          <w:sz w:val="20"/>
          <w:szCs w:val="20"/>
        </w:rPr>
        <w:t>(pp. 179-260).  Washington, DC:  World Bank.</w:t>
      </w:r>
    </w:p>
  </w:footnote>
  <w:footnote w:id="7">
    <w:p w:rsidR="00286120" w:rsidRDefault="00286120" w:rsidP="00020689">
      <w:pPr>
        <w:pStyle w:val="FootnoteText"/>
        <w:ind w:left="90" w:hanging="90"/>
      </w:pPr>
      <w:r>
        <w:rPr>
          <w:rStyle w:val="FootnoteReference"/>
        </w:rPr>
        <w:footnoteRef/>
      </w:r>
      <w:r>
        <w:tab/>
        <w:t xml:space="preserve">This would include capacity development, for example, of women, men, and youth farmers and their organizations, processors, input supply dealers, extension staff, etc. </w:t>
      </w:r>
    </w:p>
  </w:footnote>
  <w:footnote w:id="8">
    <w:p w:rsidR="00286120" w:rsidRPr="00BF38E1" w:rsidRDefault="00286120" w:rsidP="00572242">
      <w:pPr>
        <w:pStyle w:val="FootnoteText"/>
        <w:ind w:left="90" w:hanging="90"/>
      </w:pPr>
      <w:r w:rsidRPr="00BF38E1">
        <w:rPr>
          <w:rStyle w:val="FootnoteReference"/>
        </w:rPr>
        <w:footnoteRef/>
      </w:r>
      <w:r w:rsidRPr="00BF38E1">
        <w:t xml:space="preserve"> This is also referred to as the third sector.  </w:t>
      </w:r>
      <w:r>
        <w:t>Farmer</w:t>
      </w:r>
      <w:r w:rsidRPr="00BF38E1">
        <w:t xml:space="preserve"> marketing groups, and other </w:t>
      </w:r>
      <w:r>
        <w:t xml:space="preserve">farmer </w:t>
      </w:r>
      <w:r w:rsidRPr="00BF38E1">
        <w:t xml:space="preserve">groups, </w:t>
      </w:r>
      <w:r>
        <w:t xml:space="preserve">associations, and cooperatives </w:t>
      </w:r>
      <w:r w:rsidRPr="00BF38E1">
        <w:t xml:space="preserve">could be categorized as </w:t>
      </w:r>
      <w:r>
        <w:t xml:space="preserve">civil society sector (with cooperatives as public sector) </w:t>
      </w:r>
      <w:r w:rsidRPr="00BF38E1">
        <w:t xml:space="preserve">but </w:t>
      </w:r>
      <w:r>
        <w:t xml:space="preserve">all </w:t>
      </w:r>
      <w:r w:rsidRPr="00BF38E1">
        <w:t>are categorized as</w:t>
      </w:r>
      <w:r>
        <w:t xml:space="preserve"> private sector herein because they are profit-oriented.</w:t>
      </w:r>
      <w:r w:rsidRPr="00BF38E1">
        <w:t xml:space="preserve">. </w:t>
      </w:r>
    </w:p>
  </w:footnote>
  <w:footnote w:id="9">
    <w:p w:rsidR="00286120" w:rsidRPr="00BF38E1" w:rsidRDefault="00286120" w:rsidP="00572242">
      <w:pPr>
        <w:spacing w:after="0" w:line="240" w:lineRule="auto"/>
        <w:ind w:left="720" w:hanging="720"/>
        <w:rPr>
          <w:rFonts w:ascii="Times New Roman" w:hAnsi="Times New Roman"/>
          <w:sz w:val="20"/>
          <w:szCs w:val="20"/>
        </w:rPr>
      </w:pPr>
      <w:r w:rsidRPr="00BF38E1">
        <w:rPr>
          <w:rStyle w:val="FootnoteReference"/>
          <w:rFonts w:ascii="Times New Roman" w:hAnsi="Times New Roman"/>
          <w:sz w:val="20"/>
          <w:szCs w:val="20"/>
        </w:rPr>
        <w:footnoteRef/>
      </w:r>
      <w:r w:rsidRPr="00BF38E1">
        <w:rPr>
          <w:rFonts w:ascii="Times New Roman" w:hAnsi="Times New Roman"/>
          <w:sz w:val="20"/>
          <w:szCs w:val="20"/>
        </w:rPr>
        <w:t xml:space="preserve"> Chipeta, S.  (2006).  </w:t>
      </w:r>
      <w:r w:rsidRPr="00BF38E1">
        <w:rPr>
          <w:rFonts w:ascii="Times New Roman" w:hAnsi="Times New Roman"/>
          <w:i/>
          <w:sz w:val="20"/>
          <w:szCs w:val="20"/>
        </w:rPr>
        <w:t xml:space="preserve">Demand-driven </w:t>
      </w:r>
      <w:r w:rsidR="00A70815">
        <w:rPr>
          <w:rFonts w:ascii="Times New Roman" w:hAnsi="Times New Roman"/>
          <w:i/>
          <w:sz w:val="20"/>
          <w:szCs w:val="20"/>
        </w:rPr>
        <w:t>A</w:t>
      </w:r>
      <w:r w:rsidRPr="00BF38E1">
        <w:rPr>
          <w:rFonts w:ascii="Times New Roman" w:hAnsi="Times New Roman"/>
          <w:i/>
          <w:sz w:val="20"/>
          <w:szCs w:val="20"/>
        </w:rPr>
        <w:t xml:space="preserve">gricultural </w:t>
      </w:r>
      <w:r w:rsidR="00A70815">
        <w:rPr>
          <w:rFonts w:ascii="Times New Roman" w:hAnsi="Times New Roman"/>
          <w:i/>
          <w:sz w:val="20"/>
          <w:szCs w:val="20"/>
        </w:rPr>
        <w:t>A</w:t>
      </w:r>
      <w:r w:rsidRPr="00BF38E1">
        <w:rPr>
          <w:rFonts w:ascii="Times New Roman" w:hAnsi="Times New Roman"/>
          <w:i/>
          <w:sz w:val="20"/>
          <w:szCs w:val="20"/>
        </w:rPr>
        <w:t xml:space="preserve">dvisory </w:t>
      </w:r>
      <w:r w:rsidR="00A70815">
        <w:rPr>
          <w:rFonts w:ascii="Times New Roman" w:hAnsi="Times New Roman"/>
          <w:i/>
          <w:sz w:val="20"/>
          <w:szCs w:val="20"/>
        </w:rPr>
        <w:t>S</w:t>
      </w:r>
      <w:r w:rsidRPr="00BF38E1">
        <w:rPr>
          <w:rFonts w:ascii="Times New Roman" w:hAnsi="Times New Roman"/>
          <w:i/>
          <w:sz w:val="20"/>
          <w:szCs w:val="20"/>
        </w:rPr>
        <w:t>ervices</w:t>
      </w:r>
      <w:r w:rsidRPr="00BF38E1">
        <w:rPr>
          <w:rFonts w:ascii="Times New Roman" w:hAnsi="Times New Roman"/>
          <w:sz w:val="20"/>
          <w:szCs w:val="20"/>
        </w:rPr>
        <w:t>.  Lindau, Switzerland:  Neuchâtel Group.</w:t>
      </w:r>
    </w:p>
    <w:p w:rsidR="00286120" w:rsidRDefault="00286120" w:rsidP="00572242">
      <w:pPr>
        <w:pStyle w:val="FootnoteText"/>
        <w:ind w:left="90" w:hanging="90"/>
      </w:pPr>
    </w:p>
  </w:footnote>
  <w:footnote w:id="10">
    <w:p w:rsidR="00286120" w:rsidRDefault="00286120" w:rsidP="009C30B5">
      <w:pPr>
        <w:pStyle w:val="FootnoteText"/>
        <w:ind w:left="180" w:hanging="180"/>
      </w:pPr>
      <w:r>
        <w:rPr>
          <w:rStyle w:val="FootnoteReference"/>
        </w:rPr>
        <w:footnoteRef/>
      </w:r>
      <w:r>
        <w:tab/>
      </w:r>
      <w:r w:rsidRPr="00CE71C5">
        <w:t xml:space="preserve">Appropriate AEAS would include, but not be limited to:  Increasing farmer, and other market actors, access to and knowledge of </w:t>
      </w:r>
      <w:r>
        <w:t xml:space="preserve">remunerative </w:t>
      </w:r>
      <w:r w:rsidRPr="00CE71C5">
        <w:t xml:space="preserve">improved technologies and practices; assisting farmers, and other market actors, to make optimal use of their available resources to ensure access to food and income for their families; and </w:t>
      </w:r>
      <w:r>
        <w:t>help</w:t>
      </w:r>
      <w:r w:rsidRPr="00CE71C5">
        <w:t>ing farmers solve their agricultural problems and improve their farm and natural resource management and marketing skills.</w:t>
      </w:r>
    </w:p>
  </w:footnote>
  <w:footnote w:id="11">
    <w:p w:rsidR="00286120" w:rsidRDefault="00286120" w:rsidP="00A70815">
      <w:pPr>
        <w:pStyle w:val="FootnoteText"/>
        <w:ind w:left="180" w:hanging="180"/>
      </w:pPr>
      <w:r>
        <w:rPr>
          <w:rStyle w:val="FootnoteReference"/>
        </w:rPr>
        <w:footnoteRef/>
      </w:r>
      <w:r w:rsidR="00A70815">
        <w:tab/>
      </w:r>
      <w:r>
        <w:t xml:space="preserve">Coordination is described as the orderly arrangement of efforts to provide unity of action in the fulfillment of common objectives.  Consultation is a process of dialogue leading to a decision, involving sharing of information and seeking of opinions and inputs on options and alternatives.  </w:t>
      </w:r>
    </w:p>
  </w:footnote>
  <w:footnote w:id="12">
    <w:p w:rsidR="00286120" w:rsidRDefault="00286120">
      <w:pPr>
        <w:pStyle w:val="FootnoteText"/>
      </w:pPr>
      <w:r>
        <w:rPr>
          <w:rStyle w:val="FootnoteReference"/>
        </w:rPr>
        <w:footnoteRef/>
      </w:r>
      <w:r>
        <w:t xml:space="preserve"> Neuchatel Group.  (2009).  </w:t>
      </w:r>
      <w:r w:rsidRPr="00A70815">
        <w:rPr>
          <w:i/>
        </w:rPr>
        <w:t>Common Framework on Agricultural Extension</w:t>
      </w:r>
      <w:r>
        <w:t>.  Lindau, Switzerland:  AGRIDEA.</w:t>
      </w:r>
    </w:p>
  </w:footnote>
  <w:footnote w:id="13">
    <w:p w:rsidR="00286120" w:rsidRDefault="00286120">
      <w:pPr>
        <w:pStyle w:val="FootnoteText"/>
        <w:ind w:left="90" w:hanging="90"/>
      </w:pPr>
      <w:r>
        <w:rPr>
          <w:rStyle w:val="FootnoteReference"/>
        </w:rPr>
        <w:footnoteRef/>
      </w:r>
      <w:r>
        <w:t xml:space="preserve"> Available:  http://searchsoftwarequality.techtarget.com/definition/best-practice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C03"/>
    <w:multiLevelType w:val="hybridMultilevel"/>
    <w:tmpl w:val="801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6538B"/>
    <w:multiLevelType w:val="hybridMultilevel"/>
    <w:tmpl w:val="A022B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14773"/>
    <w:multiLevelType w:val="hybridMultilevel"/>
    <w:tmpl w:val="951C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B078A"/>
    <w:multiLevelType w:val="hybridMultilevel"/>
    <w:tmpl w:val="9B84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0673A"/>
    <w:multiLevelType w:val="hybridMultilevel"/>
    <w:tmpl w:val="FA74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F5E54"/>
    <w:multiLevelType w:val="hybridMultilevel"/>
    <w:tmpl w:val="21E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F2187"/>
    <w:multiLevelType w:val="hybridMultilevel"/>
    <w:tmpl w:val="337680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A74CB1"/>
    <w:multiLevelType w:val="hybridMultilevel"/>
    <w:tmpl w:val="AC5C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122"/>
    <w:multiLevelType w:val="multilevel"/>
    <w:tmpl w:val="ED7A2978"/>
    <w:lvl w:ilvl="0">
      <w:start w:val="1"/>
      <w:numFmt w:val="upperRoman"/>
      <w:pStyle w:val="CAADPTitle01"/>
      <w:lvlText w:val="%1."/>
      <w:lvlJc w:val="left"/>
      <w:pPr>
        <w:tabs>
          <w:tab w:val="num" w:pos="851"/>
        </w:tabs>
        <w:ind w:left="851" w:hanging="851"/>
      </w:pPr>
      <w:rPr>
        <w:rFonts w:hint="default"/>
      </w:rPr>
    </w:lvl>
    <w:lvl w:ilvl="1">
      <w:start w:val="1"/>
      <w:numFmt w:val="upperLetter"/>
      <w:pStyle w:val="CAADPTitle02"/>
      <w:lvlText w:val="%2."/>
      <w:lvlJc w:val="left"/>
      <w:pPr>
        <w:tabs>
          <w:tab w:val="num" w:pos="1418"/>
        </w:tabs>
        <w:ind w:left="1418" w:hanging="567"/>
      </w:pPr>
      <w:rPr>
        <w:rFonts w:hint="default"/>
      </w:rPr>
    </w:lvl>
    <w:lvl w:ilvl="2">
      <w:start w:val="1"/>
      <w:numFmt w:val="lowerRoman"/>
      <w:pStyle w:val="CAADPTitle03"/>
      <w:lvlText w:val="(%3)"/>
      <w:lvlJc w:val="left"/>
      <w:pPr>
        <w:tabs>
          <w:tab w:val="num" w:pos="1418"/>
        </w:tabs>
        <w:ind w:left="1418"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CAADPTitle04CharCharCharCharChar"/>
      <w:lvlText w:val="%1.%4."/>
      <w:lvlJc w:val="left"/>
      <w:pPr>
        <w:tabs>
          <w:tab w:val="num" w:pos="720"/>
        </w:tabs>
      </w:pPr>
      <w:rPr>
        <w:rFonts w:hint="default"/>
        <w:sz w:val="24"/>
        <w:szCs w:val="24"/>
      </w:rPr>
    </w:lvl>
    <w:lvl w:ilvl="4">
      <w:start w:val="1"/>
      <w:numFmt w:val="none"/>
      <w:suff w:val="nothing"/>
      <w:lvlText w:val=""/>
      <w:lvlJc w:val="left"/>
      <w:rPr>
        <w:rFonts w:hint="default"/>
      </w:rPr>
    </w:lvl>
    <w:lvl w:ilvl="5">
      <w:start w:val="1"/>
      <w:numFmt w:val="decimal"/>
      <w:lvlText w:val=".%6"/>
      <w:lvlJc w:val="left"/>
      <w:pPr>
        <w:tabs>
          <w:tab w:val="num" w:pos="0"/>
        </w:tabs>
      </w:pPr>
      <w:rPr>
        <w:rFonts w:hint="default"/>
      </w:rPr>
    </w:lvl>
    <w:lvl w:ilvl="6">
      <w:start w:val="1"/>
      <w:numFmt w:val="decimal"/>
      <w:lvlText w:val=".%6.%7"/>
      <w:lvlJc w:val="left"/>
      <w:pPr>
        <w:tabs>
          <w:tab w:val="num" w:pos="0"/>
        </w:tabs>
      </w:pPr>
      <w:rPr>
        <w:rFonts w:hint="default"/>
      </w:rPr>
    </w:lvl>
    <w:lvl w:ilvl="7">
      <w:start w:val="1"/>
      <w:numFmt w:val="decimal"/>
      <w:lvlText w:val=".%6.%7.%8"/>
      <w:lvlJc w:val="left"/>
      <w:pPr>
        <w:tabs>
          <w:tab w:val="num" w:pos="0"/>
        </w:tabs>
      </w:pPr>
      <w:rPr>
        <w:rFonts w:hint="default"/>
      </w:rPr>
    </w:lvl>
    <w:lvl w:ilvl="8">
      <w:start w:val="1"/>
      <w:numFmt w:val="decimal"/>
      <w:lvlText w:val=".%6.%7.%8.%9"/>
      <w:lvlJc w:val="left"/>
      <w:pPr>
        <w:tabs>
          <w:tab w:val="num" w:pos="0"/>
        </w:tabs>
      </w:pPr>
      <w:rPr>
        <w:rFonts w:hint="default"/>
      </w:rPr>
    </w:lvl>
  </w:abstractNum>
  <w:abstractNum w:abstractNumId="9">
    <w:nsid w:val="32E54AE6"/>
    <w:multiLevelType w:val="hybridMultilevel"/>
    <w:tmpl w:val="80DE6B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52966"/>
    <w:multiLevelType w:val="hybridMultilevel"/>
    <w:tmpl w:val="BA14170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36F34280"/>
    <w:multiLevelType w:val="multilevel"/>
    <w:tmpl w:val="DEACFEA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7FA144D"/>
    <w:multiLevelType w:val="hybridMultilevel"/>
    <w:tmpl w:val="97A2B0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156AC7"/>
    <w:multiLevelType w:val="hybridMultilevel"/>
    <w:tmpl w:val="465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83F7A"/>
    <w:multiLevelType w:val="hybridMultilevel"/>
    <w:tmpl w:val="A022B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C82877"/>
    <w:multiLevelType w:val="hybridMultilevel"/>
    <w:tmpl w:val="363640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5E1B0D58"/>
    <w:multiLevelType w:val="hybridMultilevel"/>
    <w:tmpl w:val="B720D2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F8496B"/>
    <w:multiLevelType w:val="hybridMultilevel"/>
    <w:tmpl w:val="27A2F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61FC5E3D"/>
    <w:multiLevelType w:val="hybridMultilevel"/>
    <w:tmpl w:val="F45855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62C620EA"/>
    <w:multiLevelType w:val="hybridMultilevel"/>
    <w:tmpl w:val="E8129F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0C62CB"/>
    <w:multiLevelType w:val="hybridMultilevel"/>
    <w:tmpl w:val="A5D08C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24076E"/>
    <w:multiLevelType w:val="hybridMultilevel"/>
    <w:tmpl w:val="C4A815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2711E7"/>
    <w:multiLevelType w:val="hybridMultilevel"/>
    <w:tmpl w:val="0E3C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7B1938"/>
    <w:multiLevelType w:val="hybridMultilevel"/>
    <w:tmpl w:val="B118870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024947"/>
    <w:multiLevelType w:val="hybridMultilevel"/>
    <w:tmpl w:val="E70E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8"/>
  </w:num>
  <w:num w:numId="5">
    <w:abstractNumId w:val="21"/>
  </w:num>
  <w:num w:numId="6">
    <w:abstractNumId w:val="16"/>
  </w:num>
  <w:num w:numId="7">
    <w:abstractNumId w:val="18"/>
  </w:num>
  <w:num w:numId="8">
    <w:abstractNumId w:val="12"/>
  </w:num>
  <w:num w:numId="9">
    <w:abstractNumId w:val="6"/>
  </w:num>
  <w:num w:numId="10">
    <w:abstractNumId w:val="2"/>
  </w:num>
  <w:num w:numId="11">
    <w:abstractNumId w:val="19"/>
  </w:num>
  <w:num w:numId="12">
    <w:abstractNumId w:val="11"/>
  </w:num>
  <w:num w:numId="13">
    <w:abstractNumId w:val="5"/>
  </w:num>
  <w:num w:numId="14">
    <w:abstractNumId w:val="15"/>
  </w:num>
  <w:num w:numId="15">
    <w:abstractNumId w:val="10"/>
  </w:num>
  <w:num w:numId="16">
    <w:abstractNumId w:val="24"/>
  </w:num>
  <w:num w:numId="17">
    <w:abstractNumId w:val="23"/>
  </w:num>
  <w:num w:numId="18">
    <w:abstractNumId w:val="9"/>
  </w:num>
  <w:num w:numId="19">
    <w:abstractNumId w:val="3"/>
  </w:num>
  <w:num w:numId="20">
    <w:abstractNumId w:val="1"/>
  </w:num>
  <w:num w:numId="21">
    <w:abstractNumId w:val="14"/>
  </w:num>
  <w:num w:numId="22">
    <w:abstractNumId w:val="20"/>
  </w:num>
  <w:num w:numId="23">
    <w:abstractNumId w:val="22"/>
  </w:num>
  <w:num w:numId="24">
    <w:abstractNumId w:val="7"/>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4C"/>
    <w:rsid w:val="00001109"/>
    <w:rsid w:val="000017A9"/>
    <w:rsid w:val="00002863"/>
    <w:rsid w:val="0000358E"/>
    <w:rsid w:val="000035AA"/>
    <w:rsid w:val="0000449D"/>
    <w:rsid w:val="00005D3C"/>
    <w:rsid w:val="00006FA7"/>
    <w:rsid w:val="00011165"/>
    <w:rsid w:val="00011186"/>
    <w:rsid w:val="000136D3"/>
    <w:rsid w:val="000162CC"/>
    <w:rsid w:val="00020063"/>
    <w:rsid w:val="00020313"/>
    <w:rsid w:val="00020689"/>
    <w:rsid w:val="00021426"/>
    <w:rsid w:val="000228B5"/>
    <w:rsid w:val="000228FF"/>
    <w:rsid w:val="0002299D"/>
    <w:rsid w:val="00023002"/>
    <w:rsid w:val="000242F4"/>
    <w:rsid w:val="00031348"/>
    <w:rsid w:val="0004257E"/>
    <w:rsid w:val="000452C9"/>
    <w:rsid w:val="000458D8"/>
    <w:rsid w:val="00045FC9"/>
    <w:rsid w:val="00046694"/>
    <w:rsid w:val="000506A4"/>
    <w:rsid w:val="000510C3"/>
    <w:rsid w:val="00056101"/>
    <w:rsid w:val="00057A49"/>
    <w:rsid w:val="00061225"/>
    <w:rsid w:val="00061CC9"/>
    <w:rsid w:val="00062328"/>
    <w:rsid w:val="00062AEF"/>
    <w:rsid w:val="00067294"/>
    <w:rsid w:val="00071634"/>
    <w:rsid w:val="00072690"/>
    <w:rsid w:val="000737D3"/>
    <w:rsid w:val="0007463F"/>
    <w:rsid w:val="00080326"/>
    <w:rsid w:val="00085B30"/>
    <w:rsid w:val="000905C0"/>
    <w:rsid w:val="00090A43"/>
    <w:rsid w:val="00090AA0"/>
    <w:rsid w:val="00092D39"/>
    <w:rsid w:val="00092DF3"/>
    <w:rsid w:val="000A16CD"/>
    <w:rsid w:val="000A1EFD"/>
    <w:rsid w:val="000A538E"/>
    <w:rsid w:val="000A54F9"/>
    <w:rsid w:val="000C262D"/>
    <w:rsid w:val="000C5AD9"/>
    <w:rsid w:val="000C5BF1"/>
    <w:rsid w:val="000C5EBD"/>
    <w:rsid w:val="000D4001"/>
    <w:rsid w:val="000D655F"/>
    <w:rsid w:val="000D7979"/>
    <w:rsid w:val="000E0365"/>
    <w:rsid w:val="000E10AD"/>
    <w:rsid w:val="000E2712"/>
    <w:rsid w:val="000E3D4D"/>
    <w:rsid w:val="000E5224"/>
    <w:rsid w:val="000E54EF"/>
    <w:rsid w:val="000E5CD0"/>
    <w:rsid w:val="000E72BF"/>
    <w:rsid w:val="000F45D8"/>
    <w:rsid w:val="000F7BCA"/>
    <w:rsid w:val="0010010D"/>
    <w:rsid w:val="00102EA7"/>
    <w:rsid w:val="00104AF5"/>
    <w:rsid w:val="00105453"/>
    <w:rsid w:val="00106A8F"/>
    <w:rsid w:val="001075AD"/>
    <w:rsid w:val="00107B27"/>
    <w:rsid w:val="001126E9"/>
    <w:rsid w:val="001133A1"/>
    <w:rsid w:val="00114CD9"/>
    <w:rsid w:val="00114FFC"/>
    <w:rsid w:val="0012047F"/>
    <w:rsid w:val="0012134E"/>
    <w:rsid w:val="0013267D"/>
    <w:rsid w:val="001366AF"/>
    <w:rsid w:val="00143BF7"/>
    <w:rsid w:val="00146220"/>
    <w:rsid w:val="001516A6"/>
    <w:rsid w:val="00157D3B"/>
    <w:rsid w:val="001608B1"/>
    <w:rsid w:val="00160DFA"/>
    <w:rsid w:val="0016283F"/>
    <w:rsid w:val="00162F3A"/>
    <w:rsid w:val="00164B51"/>
    <w:rsid w:val="001652AC"/>
    <w:rsid w:val="001722B7"/>
    <w:rsid w:val="00173F39"/>
    <w:rsid w:val="00176459"/>
    <w:rsid w:val="00177E09"/>
    <w:rsid w:val="001863B6"/>
    <w:rsid w:val="00195D26"/>
    <w:rsid w:val="0019705C"/>
    <w:rsid w:val="001A2F4B"/>
    <w:rsid w:val="001A3B47"/>
    <w:rsid w:val="001A4B53"/>
    <w:rsid w:val="001B0F02"/>
    <w:rsid w:val="001B2D35"/>
    <w:rsid w:val="001B53CF"/>
    <w:rsid w:val="001B625F"/>
    <w:rsid w:val="001C19DE"/>
    <w:rsid w:val="001C239E"/>
    <w:rsid w:val="001C30FF"/>
    <w:rsid w:val="001C3592"/>
    <w:rsid w:val="001C3EBC"/>
    <w:rsid w:val="001C62A2"/>
    <w:rsid w:val="001D237B"/>
    <w:rsid w:val="001D2701"/>
    <w:rsid w:val="001D3B96"/>
    <w:rsid w:val="001D5AF8"/>
    <w:rsid w:val="001E3ED8"/>
    <w:rsid w:val="001E5530"/>
    <w:rsid w:val="001F2008"/>
    <w:rsid w:val="001F2229"/>
    <w:rsid w:val="001F231C"/>
    <w:rsid w:val="001F2AB6"/>
    <w:rsid w:val="001F7154"/>
    <w:rsid w:val="001F74F6"/>
    <w:rsid w:val="00213535"/>
    <w:rsid w:val="0021570D"/>
    <w:rsid w:val="00215909"/>
    <w:rsid w:val="00220902"/>
    <w:rsid w:val="00223923"/>
    <w:rsid w:val="002308C9"/>
    <w:rsid w:val="00233365"/>
    <w:rsid w:val="0023452F"/>
    <w:rsid w:val="00235284"/>
    <w:rsid w:val="002403A3"/>
    <w:rsid w:val="002403EA"/>
    <w:rsid w:val="00240792"/>
    <w:rsid w:val="00241A0C"/>
    <w:rsid w:val="00241D6E"/>
    <w:rsid w:val="0024231C"/>
    <w:rsid w:val="0024267F"/>
    <w:rsid w:val="00242998"/>
    <w:rsid w:val="00242D3F"/>
    <w:rsid w:val="00244104"/>
    <w:rsid w:val="00252EA9"/>
    <w:rsid w:val="00261C26"/>
    <w:rsid w:val="002630D6"/>
    <w:rsid w:val="00264B02"/>
    <w:rsid w:val="00265E88"/>
    <w:rsid w:val="00266C38"/>
    <w:rsid w:val="00277146"/>
    <w:rsid w:val="00277FEF"/>
    <w:rsid w:val="0028217C"/>
    <w:rsid w:val="00285111"/>
    <w:rsid w:val="00286120"/>
    <w:rsid w:val="00287B21"/>
    <w:rsid w:val="00287EFF"/>
    <w:rsid w:val="002914BD"/>
    <w:rsid w:val="00292986"/>
    <w:rsid w:val="0029403A"/>
    <w:rsid w:val="002953D7"/>
    <w:rsid w:val="002A2725"/>
    <w:rsid w:val="002A64BF"/>
    <w:rsid w:val="002A6B82"/>
    <w:rsid w:val="002B0724"/>
    <w:rsid w:val="002B62DA"/>
    <w:rsid w:val="002B7BC2"/>
    <w:rsid w:val="002B7F81"/>
    <w:rsid w:val="002C40CE"/>
    <w:rsid w:val="002C40DC"/>
    <w:rsid w:val="002C5204"/>
    <w:rsid w:val="002C7366"/>
    <w:rsid w:val="002D07C6"/>
    <w:rsid w:val="002E3DE7"/>
    <w:rsid w:val="002E5DE5"/>
    <w:rsid w:val="00303762"/>
    <w:rsid w:val="00311BBF"/>
    <w:rsid w:val="00313A1C"/>
    <w:rsid w:val="00314321"/>
    <w:rsid w:val="00314F19"/>
    <w:rsid w:val="00315061"/>
    <w:rsid w:val="003156A1"/>
    <w:rsid w:val="0031725B"/>
    <w:rsid w:val="00317C2F"/>
    <w:rsid w:val="00330226"/>
    <w:rsid w:val="00336E6A"/>
    <w:rsid w:val="00343534"/>
    <w:rsid w:val="00346A42"/>
    <w:rsid w:val="00347788"/>
    <w:rsid w:val="003556E4"/>
    <w:rsid w:val="003603A8"/>
    <w:rsid w:val="00361986"/>
    <w:rsid w:val="00371465"/>
    <w:rsid w:val="0038443B"/>
    <w:rsid w:val="00390E69"/>
    <w:rsid w:val="00397346"/>
    <w:rsid w:val="003A4ACF"/>
    <w:rsid w:val="003B16E0"/>
    <w:rsid w:val="003B20C0"/>
    <w:rsid w:val="003B451F"/>
    <w:rsid w:val="003B5987"/>
    <w:rsid w:val="003B5DEB"/>
    <w:rsid w:val="003B6168"/>
    <w:rsid w:val="003B63CB"/>
    <w:rsid w:val="003B6B06"/>
    <w:rsid w:val="003C0593"/>
    <w:rsid w:val="003C57A8"/>
    <w:rsid w:val="003D16E0"/>
    <w:rsid w:val="003D2AAE"/>
    <w:rsid w:val="003D3B7A"/>
    <w:rsid w:val="003D4D9D"/>
    <w:rsid w:val="003E03A1"/>
    <w:rsid w:val="003E0B38"/>
    <w:rsid w:val="003E1008"/>
    <w:rsid w:val="003E1B93"/>
    <w:rsid w:val="003F74C9"/>
    <w:rsid w:val="00400F91"/>
    <w:rsid w:val="004015B5"/>
    <w:rsid w:val="00404D85"/>
    <w:rsid w:val="004073C2"/>
    <w:rsid w:val="00411859"/>
    <w:rsid w:val="0041466E"/>
    <w:rsid w:val="00414F00"/>
    <w:rsid w:val="00415910"/>
    <w:rsid w:val="00420AA8"/>
    <w:rsid w:val="00421EC4"/>
    <w:rsid w:val="0042245C"/>
    <w:rsid w:val="00423316"/>
    <w:rsid w:val="00425607"/>
    <w:rsid w:val="0043409A"/>
    <w:rsid w:val="00441D39"/>
    <w:rsid w:val="00450A46"/>
    <w:rsid w:val="00456DC5"/>
    <w:rsid w:val="00457957"/>
    <w:rsid w:val="00457D53"/>
    <w:rsid w:val="00464900"/>
    <w:rsid w:val="004654EC"/>
    <w:rsid w:val="0047606E"/>
    <w:rsid w:val="00476362"/>
    <w:rsid w:val="00476EF8"/>
    <w:rsid w:val="0047758D"/>
    <w:rsid w:val="00477804"/>
    <w:rsid w:val="004821E0"/>
    <w:rsid w:val="00484667"/>
    <w:rsid w:val="004925DF"/>
    <w:rsid w:val="00492A1A"/>
    <w:rsid w:val="00496911"/>
    <w:rsid w:val="004A7A78"/>
    <w:rsid w:val="004B2D4A"/>
    <w:rsid w:val="004B3382"/>
    <w:rsid w:val="004B3FFC"/>
    <w:rsid w:val="004B6D73"/>
    <w:rsid w:val="004C12F1"/>
    <w:rsid w:val="004D1F3D"/>
    <w:rsid w:val="004D636A"/>
    <w:rsid w:val="004E0A2F"/>
    <w:rsid w:val="004E2984"/>
    <w:rsid w:val="004E2A06"/>
    <w:rsid w:val="004F0B6C"/>
    <w:rsid w:val="004F63C7"/>
    <w:rsid w:val="004F63CC"/>
    <w:rsid w:val="00504F3D"/>
    <w:rsid w:val="00511783"/>
    <w:rsid w:val="00516131"/>
    <w:rsid w:val="00520CE6"/>
    <w:rsid w:val="00524618"/>
    <w:rsid w:val="00525881"/>
    <w:rsid w:val="005274B4"/>
    <w:rsid w:val="00527604"/>
    <w:rsid w:val="005305DD"/>
    <w:rsid w:val="005307E2"/>
    <w:rsid w:val="00531B4E"/>
    <w:rsid w:val="00533117"/>
    <w:rsid w:val="005368EA"/>
    <w:rsid w:val="0053713D"/>
    <w:rsid w:val="005401EB"/>
    <w:rsid w:val="00541B0A"/>
    <w:rsid w:val="0054400E"/>
    <w:rsid w:val="0054569E"/>
    <w:rsid w:val="00550181"/>
    <w:rsid w:val="005544BD"/>
    <w:rsid w:val="00555F62"/>
    <w:rsid w:val="005617C8"/>
    <w:rsid w:val="00571D98"/>
    <w:rsid w:val="00572242"/>
    <w:rsid w:val="00573ECE"/>
    <w:rsid w:val="005750F5"/>
    <w:rsid w:val="00575223"/>
    <w:rsid w:val="00576228"/>
    <w:rsid w:val="00576D61"/>
    <w:rsid w:val="005809E4"/>
    <w:rsid w:val="00580A7B"/>
    <w:rsid w:val="00583401"/>
    <w:rsid w:val="00584ED7"/>
    <w:rsid w:val="00585810"/>
    <w:rsid w:val="00587796"/>
    <w:rsid w:val="005904F2"/>
    <w:rsid w:val="005A042D"/>
    <w:rsid w:val="005A6495"/>
    <w:rsid w:val="005B0EB0"/>
    <w:rsid w:val="005B2442"/>
    <w:rsid w:val="005B2B20"/>
    <w:rsid w:val="005B65CA"/>
    <w:rsid w:val="005C723B"/>
    <w:rsid w:val="005D109A"/>
    <w:rsid w:val="005D3401"/>
    <w:rsid w:val="005D52FA"/>
    <w:rsid w:val="005D7C48"/>
    <w:rsid w:val="005E13CA"/>
    <w:rsid w:val="005E47BC"/>
    <w:rsid w:val="005F132F"/>
    <w:rsid w:val="005F6CC7"/>
    <w:rsid w:val="0060033E"/>
    <w:rsid w:val="0060584E"/>
    <w:rsid w:val="00613A4C"/>
    <w:rsid w:val="0061470C"/>
    <w:rsid w:val="0061690A"/>
    <w:rsid w:val="00620F11"/>
    <w:rsid w:val="006239AB"/>
    <w:rsid w:val="00623A50"/>
    <w:rsid w:val="00627677"/>
    <w:rsid w:val="00631316"/>
    <w:rsid w:val="00632283"/>
    <w:rsid w:val="00634B58"/>
    <w:rsid w:val="006400C9"/>
    <w:rsid w:val="006449FE"/>
    <w:rsid w:val="006455EC"/>
    <w:rsid w:val="006461B1"/>
    <w:rsid w:val="006502AE"/>
    <w:rsid w:val="006504A8"/>
    <w:rsid w:val="0065095C"/>
    <w:rsid w:val="0065188F"/>
    <w:rsid w:val="00655943"/>
    <w:rsid w:val="00664874"/>
    <w:rsid w:val="00664F69"/>
    <w:rsid w:val="00666994"/>
    <w:rsid w:val="0067024A"/>
    <w:rsid w:val="00671D9A"/>
    <w:rsid w:val="00672941"/>
    <w:rsid w:val="006755AA"/>
    <w:rsid w:val="00677CF6"/>
    <w:rsid w:val="00686DB6"/>
    <w:rsid w:val="00687B12"/>
    <w:rsid w:val="006A1F54"/>
    <w:rsid w:val="006A3456"/>
    <w:rsid w:val="006A4625"/>
    <w:rsid w:val="006B2AC3"/>
    <w:rsid w:val="006C0871"/>
    <w:rsid w:val="006C22FE"/>
    <w:rsid w:val="006D2854"/>
    <w:rsid w:val="006D2F5F"/>
    <w:rsid w:val="006D6EC6"/>
    <w:rsid w:val="006E09AA"/>
    <w:rsid w:val="006E6870"/>
    <w:rsid w:val="006F490B"/>
    <w:rsid w:val="006F59A3"/>
    <w:rsid w:val="0070037F"/>
    <w:rsid w:val="007056A6"/>
    <w:rsid w:val="007079E7"/>
    <w:rsid w:val="00712F3B"/>
    <w:rsid w:val="00714F03"/>
    <w:rsid w:val="00720581"/>
    <w:rsid w:val="00720A59"/>
    <w:rsid w:val="00721048"/>
    <w:rsid w:val="00721AD9"/>
    <w:rsid w:val="00722FB3"/>
    <w:rsid w:val="00724417"/>
    <w:rsid w:val="00725E86"/>
    <w:rsid w:val="007265AB"/>
    <w:rsid w:val="00731157"/>
    <w:rsid w:val="00732E80"/>
    <w:rsid w:val="0073375E"/>
    <w:rsid w:val="0073584D"/>
    <w:rsid w:val="007369D9"/>
    <w:rsid w:val="00741E9A"/>
    <w:rsid w:val="007426B2"/>
    <w:rsid w:val="00744B24"/>
    <w:rsid w:val="007530E5"/>
    <w:rsid w:val="00756171"/>
    <w:rsid w:val="007605F5"/>
    <w:rsid w:val="0076633A"/>
    <w:rsid w:val="007665C9"/>
    <w:rsid w:val="0077087A"/>
    <w:rsid w:val="007708DD"/>
    <w:rsid w:val="00771A0E"/>
    <w:rsid w:val="00774584"/>
    <w:rsid w:val="0077463A"/>
    <w:rsid w:val="0077699C"/>
    <w:rsid w:val="00784EEC"/>
    <w:rsid w:val="00785BDE"/>
    <w:rsid w:val="00787E0D"/>
    <w:rsid w:val="00790945"/>
    <w:rsid w:val="00791340"/>
    <w:rsid w:val="007915C0"/>
    <w:rsid w:val="00794348"/>
    <w:rsid w:val="007961F7"/>
    <w:rsid w:val="00797157"/>
    <w:rsid w:val="007A26BE"/>
    <w:rsid w:val="007A3C51"/>
    <w:rsid w:val="007A63A0"/>
    <w:rsid w:val="007B00B3"/>
    <w:rsid w:val="007B1F40"/>
    <w:rsid w:val="007B3038"/>
    <w:rsid w:val="007B6796"/>
    <w:rsid w:val="007C2277"/>
    <w:rsid w:val="007C61BF"/>
    <w:rsid w:val="007C7A61"/>
    <w:rsid w:val="007E1B1B"/>
    <w:rsid w:val="007E4760"/>
    <w:rsid w:val="007E4A63"/>
    <w:rsid w:val="007F04DE"/>
    <w:rsid w:val="007F1302"/>
    <w:rsid w:val="007F19EB"/>
    <w:rsid w:val="007F23FC"/>
    <w:rsid w:val="007F3037"/>
    <w:rsid w:val="007F3CAD"/>
    <w:rsid w:val="0080134D"/>
    <w:rsid w:val="00801D3A"/>
    <w:rsid w:val="0080328F"/>
    <w:rsid w:val="00814278"/>
    <w:rsid w:val="00820021"/>
    <w:rsid w:val="00820AEE"/>
    <w:rsid w:val="00820C4D"/>
    <w:rsid w:val="008256F4"/>
    <w:rsid w:val="008262BF"/>
    <w:rsid w:val="00826E22"/>
    <w:rsid w:val="008270B5"/>
    <w:rsid w:val="008343DA"/>
    <w:rsid w:val="00834DC0"/>
    <w:rsid w:val="00836924"/>
    <w:rsid w:val="00841F7E"/>
    <w:rsid w:val="0084420E"/>
    <w:rsid w:val="008476BC"/>
    <w:rsid w:val="00851523"/>
    <w:rsid w:val="00852485"/>
    <w:rsid w:val="008527EA"/>
    <w:rsid w:val="00852FB5"/>
    <w:rsid w:val="00853785"/>
    <w:rsid w:val="00854F3E"/>
    <w:rsid w:val="0085766E"/>
    <w:rsid w:val="00860C10"/>
    <w:rsid w:val="00860F32"/>
    <w:rsid w:val="00864427"/>
    <w:rsid w:val="0087387A"/>
    <w:rsid w:val="0087469F"/>
    <w:rsid w:val="00875C69"/>
    <w:rsid w:val="008776A1"/>
    <w:rsid w:val="0088181F"/>
    <w:rsid w:val="0088194D"/>
    <w:rsid w:val="00882D8A"/>
    <w:rsid w:val="00883BA7"/>
    <w:rsid w:val="00891515"/>
    <w:rsid w:val="008919C2"/>
    <w:rsid w:val="00894DD4"/>
    <w:rsid w:val="00897BC5"/>
    <w:rsid w:val="008A08E7"/>
    <w:rsid w:val="008A1BC6"/>
    <w:rsid w:val="008A3E1D"/>
    <w:rsid w:val="008A7332"/>
    <w:rsid w:val="008B1C31"/>
    <w:rsid w:val="008B2CEF"/>
    <w:rsid w:val="008C05AE"/>
    <w:rsid w:val="008C0B2C"/>
    <w:rsid w:val="008C2908"/>
    <w:rsid w:val="008C2950"/>
    <w:rsid w:val="008D0350"/>
    <w:rsid w:val="008D4AD9"/>
    <w:rsid w:val="008D5ECD"/>
    <w:rsid w:val="008D6B64"/>
    <w:rsid w:val="008D6C29"/>
    <w:rsid w:val="008E054C"/>
    <w:rsid w:val="008E30BA"/>
    <w:rsid w:val="008E4BBC"/>
    <w:rsid w:val="008E595A"/>
    <w:rsid w:val="008F075F"/>
    <w:rsid w:val="008F1ED2"/>
    <w:rsid w:val="008F6A9E"/>
    <w:rsid w:val="008F7820"/>
    <w:rsid w:val="00901028"/>
    <w:rsid w:val="0091184C"/>
    <w:rsid w:val="00912492"/>
    <w:rsid w:val="00913477"/>
    <w:rsid w:val="009138FD"/>
    <w:rsid w:val="00925518"/>
    <w:rsid w:val="00930FCD"/>
    <w:rsid w:val="00936240"/>
    <w:rsid w:val="00937A94"/>
    <w:rsid w:val="00941991"/>
    <w:rsid w:val="0095295B"/>
    <w:rsid w:val="0095686D"/>
    <w:rsid w:val="00962728"/>
    <w:rsid w:val="009648FC"/>
    <w:rsid w:val="00967E66"/>
    <w:rsid w:val="00973DAE"/>
    <w:rsid w:val="00981DC8"/>
    <w:rsid w:val="009835EA"/>
    <w:rsid w:val="00984882"/>
    <w:rsid w:val="00984F97"/>
    <w:rsid w:val="00985508"/>
    <w:rsid w:val="0098586D"/>
    <w:rsid w:val="00987040"/>
    <w:rsid w:val="00987F0C"/>
    <w:rsid w:val="00990071"/>
    <w:rsid w:val="0099086B"/>
    <w:rsid w:val="009920F8"/>
    <w:rsid w:val="00994099"/>
    <w:rsid w:val="009965E0"/>
    <w:rsid w:val="00996E30"/>
    <w:rsid w:val="009A3AA5"/>
    <w:rsid w:val="009A46B3"/>
    <w:rsid w:val="009B6E16"/>
    <w:rsid w:val="009C1D10"/>
    <w:rsid w:val="009C2775"/>
    <w:rsid w:val="009C2B1F"/>
    <w:rsid w:val="009C30B5"/>
    <w:rsid w:val="009C34EB"/>
    <w:rsid w:val="009C4393"/>
    <w:rsid w:val="009C62BB"/>
    <w:rsid w:val="009D114D"/>
    <w:rsid w:val="009D2D9F"/>
    <w:rsid w:val="009D6555"/>
    <w:rsid w:val="009D6832"/>
    <w:rsid w:val="009E0904"/>
    <w:rsid w:val="009E101A"/>
    <w:rsid w:val="009E13E4"/>
    <w:rsid w:val="009E1DDE"/>
    <w:rsid w:val="009E2E38"/>
    <w:rsid w:val="009E42C0"/>
    <w:rsid w:val="009E5244"/>
    <w:rsid w:val="009E6DCF"/>
    <w:rsid w:val="009F17D6"/>
    <w:rsid w:val="009F3A58"/>
    <w:rsid w:val="009F42DE"/>
    <w:rsid w:val="009F708F"/>
    <w:rsid w:val="00A00BCF"/>
    <w:rsid w:val="00A077F8"/>
    <w:rsid w:val="00A108C7"/>
    <w:rsid w:val="00A11624"/>
    <w:rsid w:val="00A13409"/>
    <w:rsid w:val="00A232C2"/>
    <w:rsid w:val="00A30FC4"/>
    <w:rsid w:val="00A31504"/>
    <w:rsid w:val="00A350E8"/>
    <w:rsid w:val="00A353B3"/>
    <w:rsid w:val="00A41543"/>
    <w:rsid w:val="00A42490"/>
    <w:rsid w:val="00A43395"/>
    <w:rsid w:val="00A44E10"/>
    <w:rsid w:val="00A462BF"/>
    <w:rsid w:val="00A5110C"/>
    <w:rsid w:val="00A53802"/>
    <w:rsid w:val="00A54F54"/>
    <w:rsid w:val="00A55C7C"/>
    <w:rsid w:val="00A56CEA"/>
    <w:rsid w:val="00A648BF"/>
    <w:rsid w:val="00A6498F"/>
    <w:rsid w:val="00A666AD"/>
    <w:rsid w:val="00A70815"/>
    <w:rsid w:val="00A71B53"/>
    <w:rsid w:val="00A75B4C"/>
    <w:rsid w:val="00A80C50"/>
    <w:rsid w:val="00A90F31"/>
    <w:rsid w:val="00A913D1"/>
    <w:rsid w:val="00A93D68"/>
    <w:rsid w:val="00A9726A"/>
    <w:rsid w:val="00AA536E"/>
    <w:rsid w:val="00AA7162"/>
    <w:rsid w:val="00AB158D"/>
    <w:rsid w:val="00AB161F"/>
    <w:rsid w:val="00AB1CCB"/>
    <w:rsid w:val="00AB6572"/>
    <w:rsid w:val="00AB6D93"/>
    <w:rsid w:val="00AC07F7"/>
    <w:rsid w:val="00AD06AF"/>
    <w:rsid w:val="00AD2A04"/>
    <w:rsid w:val="00AD2B65"/>
    <w:rsid w:val="00AD4453"/>
    <w:rsid w:val="00AD4B8F"/>
    <w:rsid w:val="00AD73D4"/>
    <w:rsid w:val="00AD7AB1"/>
    <w:rsid w:val="00AE7755"/>
    <w:rsid w:val="00AF0374"/>
    <w:rsid w:val="00B02D9A"/>
    <w:rsid w:val="00B03535"/>
    <w:rsid w:val="00B04FFC"/>
    <w:rsid w:val="00B116B9"/>
    <w:rsid w:val="00B14B79"/>
    <w:rsid w:val="00B15A20"/>
    <w:rsid w:val="00B20A99"/>
    <w:rsid w:val="00B2156F"/>
    <w:rsid w:val="00B23C9D"/>
    <w:rsid w:val="00B24DCC"/>
    <w:rsid w:val="00B26212"/>
    <w:rsid w:val="00B266DF"/>
    <w:rsid w:val="00B26DB0"/>
    <w:rsid w:val="00B3166B"/>
    <w:rsid w:val="00B3455A"/>
    <w:rsid w:val="00B367D6"/>
    <w:rsid w:val="00B44B2E"/>
    <w:rsid w:val="00B47326"/>
    <w:rsid w:val="00B507FC"/>
    <w:rsid w:val="00B50A33"/>
    <w:rsid w:val="00B50FA5"/>
    <w:rsid w:val="00B512DE"/>
    <w:rsid w:val="00B51712"/>
    <w:rsid w:val="00B51958"/>
    <w:rsid w:val="00B54214"/>
    <w:rsid w:val="00B6090C"/>
    <w:rsid w:val="00B61E61"/>
    <w:rsid w:val="00B642BC"/>
    <w:rsid w:val="00B65545"/>
    <w:rsid w:val="00B75514"/>
    <w:rsid w:val="00B76CE1"/>
    <w:rsid w:val="00B8115A"/>
    <w:rsid w:val="00B82E51"/>
    <w:rsid w:val="00B90DBC"/>
    <w:rsid w:val="00B9149C"/>
    <w:rsid w:val="00B92796"/>
    <w:rsid w:val="00B9332D"/>
    <w:rsid w:val="00B97B61"/>
    <w:rsid w:val="00BA5B18"/>
    <w:rsid w:val="00BB1B78"/>
    <w:rsid w:val="00BC3612"/>
    <w:rsid w:val="00BC4CA6"/>
    <w:rsid w:val="00BC4EB9"/>
    <w:rsid w:val="00BC7FB6"/>
    <w:rsid w:val="00BD30DA"/>
    <w:rsid w:val="00BD54CD"/>
    <w:rsid w:val="00BD61D2"/>
    <w:rsid w:val="00BD73AC"/>
    <w:rsid w:val="00BE0E13"/>
    <w:rsid w:val="00BE23C9"/>
    <w:rsid w:val="00BE3017"/>
    <w:rsid w:val="00BE4DA3"/>
    <w:rsid w:val="00BF1C37"/>
    <w:rsid w:val="00BF38E1"/>
    <w:rsid w:val="00C00943"/>
    <w:rsid w:val="00C0180F"/>
    <w:rsid w:val="00C0407C"/>
    <w:rsid w:val="00C05377"/>
    <w:rsid w:val="00C129C0"/>
    <w:rsid w:val="00C146B4"/>
    <w:rsid w:val="00C156A2"/>
    <w:rsid w:val="00C16113"/>
    <w:rsid w:val="00C16926"/>
    <w:rsid w:val="00C172EE"/>
    <w:rsid w:val="00C20174"/>
    <w:rsid w:val="00C205BC"/>
    <w:rsid w:val="00C2192C"/>
    <w:rsid w:val="00C33397"/>
    <w:rsid w:val="00C3705C"/>
    <w:rsid w:val="00C4070D"/>
    <w:rsid w:val="00C4262D"/>
    <w:rsid w:val="00C46743"/>
    <w:rsid w:val="00C47B55"/>
    <w:rsid w:val="00C505C0"/>
    <w:rsid w:val="00C52CE2"/>
    <w:rsid w:val="00C54AFE"/>
    <w:rsid w:val="00C56561"/>
    <w:rsid w:val="00C574E9"/>
    <w:rsid w:val="00C66017"/>
    <w:rsid w:val="00C7091F"/>
    <w:rsid w:val="00C70E53"/>
    <w:rsid w:val="00C8032B"/>
    <w:rsid w:val="00C847C0"/>
    <w:rsid w:val="00C85F52"/>
    <w:rsid w:val="00C8676C"/>
    <w:rsid w:val="00C86AA4"/>
    <w:rsid w:val="00C908F4"/>
    <w:rsid w:val="00C91FCF"/>
    <w:rsid w:val="00C9483A"/>
    <w:rsid w:val="00C954E0"/>
    <w:rsid w:val="00C96580"/>
    <w:rsid w:val="00C97807"/>
    <w:rsid w:val="00CA135B"/>
    <w:rsid w:val="00CA46F5"/>
    <w:rsid w:val="00CA73AA"/>
    <w:rsid w:val="00CB19A0"/>
    <w:rsid w:val="00CB23E6"/>
    <w:rsid w:val="00CB690C"/>
    <w:rsid w:val="00CC0C84"/>
    <w:rsid w:val="00CC18C9"/>
    <w:rsid w:val="00CC3946"/>
    <w:rsid w:val="00CC409E"/>
    <w:rsid w:val="00CC6FA5"/>
    <w:rsid w:val="00CC7455"/>
    <w:rsid w:val="00CD5A0F"/>
    <w:rsid w:val="00CD5DAC"/>
    <w:rsid w:val="00CD6060"/>
    <w:rsid w:val="00CD68C9"/>
    <w:rsid w:val="00CE097B"/>
    <w:rsid w:val="00CE0E92"/>
    <w:rsid w:val="00CE160C"/>
    <w:rsid w:val="00CE1F84"/>
    <w:rsid w:val="00CE2BD3"/>
    <w:rsid w:val="00CE4F2A"/>
    <w:rsid w:val="00CE501C"/>
    <w:rsid w:val="00CE71C5"/>
    <w:rsid w:val="00CF4D0E"/>
    <w:rsid w:val="00D00DDC"/>
    <w:rsid w:val="00D01C0F"/>
    <w:rsid w:val="00D01E0F"/>
    <w:rsid w:val="00D134B3"/>
    <w:rsid w:val="00D261F8"/>
    <w:rsid w:val="00D33BA1"/>
    <w:rsid w:val="00D34383"/>
    <w:rsid w:val="00D34F1C"/>
    <w:rsid w:val="00D375AD"/>
    <w:rsid w:val="00D4137C"/>
    <w:rsid w:val="00D42339"/>
    <w:rsid w:val="00D45DA4"/>
    <w:rsid w:val="00D4799F"/>
    <w:rsid w:val="00D479C2"/>
    <w:rsid w:val="00D51A5E"/>
    <w:rsid w:val="00D56119"/>
    <w:rsid w:val="00D624CE"/>
    <w:rsid w:val="00D65FD9"/>
    <w:rsid w:val="00D72ECD"/>
    <w:rsid w:val="00D74DB5"/>
    <w:rsid w:val="00D757A2"/>
    <w:rsid w:val="00D84EA3"/>
    <w:rsid w:val="00D9067D"/>
    <w:rsid w:val="00D90C7A"/>
    <w:rsid w:val="00D91B24"/>
    <w:rsid w:val="00D92FBC"/>
    <w:rsid w:val="00D94443"/>
    <w:rsid w:val="00DA0425"/>
    <w:rsid w:val="00DA0608"/>
    <w:rsid w:val="00DA0BE0"/>
    <w:rsid w:val="00DA324C"/>
    <w:rsid w:val="00DA5116"/>
    <w:rsid w:val="00DA517C"/>
    <w:rsid w:val="00DB055D"/>
    <w:rsid w:val="00DB0F4C"/>
    <w:rsid w:val="00DB1534"/>
    <w:rsid w:val="00DB63C7"/>
    <w:rsid w:val="00DC1445"/>
    <w:rsid w:val="00DC2C2E"/>
    <w:rsid w:val="00DC40ED"/>
    <w:rsid w:val="00DC4641"/>
    <w:rsid w:val="00DD0E39"/>
    <w:rsid w:val="00DD16FB"/>
    <w:rsid w:val="00DD42D2"/>
    <w:rsid w:val="00DE0F0F"/>
    <w:rsid w:val="00DF0213"/>
    <w:rsid w:val="00DF18C5"/>
    <w:rsid w:val="00DF6590"/>
    <w:rsid w:val="00DF6B43"/>
    <w:rsid w:val="00E01F03"/>
    <w:rsid w:val="00E02973"/>
    <w:rsid w:val="00E07C09"/>
    <w:rsid w:val="00E1060A"/>
    <w:rsid w:val="00E11F3A"/>
    <w:rsid w:val="00E12A5F"/>
    <w:rsid w:val="00E14062"/>
    <w:rsid w:val="00E16ABE"/>
    <w:rsid w:val="00E17A2D"/>
    <w:rsid w:val="00E218EB"/>
    <w:rsid w:val="00E21EBB"/>
    <w:rsid w:val="00E25FC3"/>
    <w:rsid w:val="00E27015"/>
    <w:rsid w:val="00E27074"/>
    <w:rsid w:val="00E32FAD"/>
    <w:rsid w:val="00E37C15"/>
    <w:rsid w:val="00E4282A"/>
    <w:rsid w:val="00E445D2"/>
    <w:rsid w:val="00E44BA0"/>
    <w:rsid w:val="00E532BD"/>
    <w:rsid w:val="00E64D2A"/>
    <w:rsid w:val="00E64E82"/>
    <w:rsid w:val="00E6515D"/>
    <w:rsid w:val="00E65E91"/>
    <w:rsid w:val="00E67C2A"/>
    <w:rsid w:val="00E72502"/>
    <w:rsid w:val="00E854DF"/>
    <w:rsid w:val="00E8643F"/>
    <w:rsid w:val="00E86624"/>
    <w:rsid w:val="00E87E99"/>
    <w:rsid w:val="00E90F7D"/>
    <w:rsid w:val="00E91147"/>
    <w:rsid w:val="00E92413"/>
    <w:rsid w:val="00EA110A"/>
    <w:rsid w:val="00EA1722"/>
    <w:rsid w:val="00EA2245"/>
    <w:rsid w:val="00EA6250"/>
    <w:rsid w:val="00EA6523"/>
    <w:rsid w:val="00EA704B"/>
    <w:rsid w:val="00EB08D3"/>
    <w:rsid w:val="00EB1B1A"/>
    <w:rsid w:val="00EB5480"/>
    <w:rsid w:val="00EB58AB"/>
    <w:rsid w:val="00EB7144"/>
    <w:rsid w:val="00EC07F2"/>
    <w:rsid w:val="00EC46CE"/>
    <w:rsid w:val="00EC4760"/>
    <w:rsid w:val="00EC6CC0"/>
    <w:rsid w:val="00ED0052"/>
    <w:rsid w:val="00ED3BAE"/>
    <w:rsid w:val="00ED6AA4"/>
    <w:rsid w:val="00EE0C37"/>
    <w:rsid w:val="00EE2051"/>
    <w:rsid w:val="00EE3430"/>
    <w:rsid w:val="00EE4DCA"/>
    <w:rsid w:val="00EE7A7E"/>
    <w:rsid w:val="00EF345F"/>
    <w:rsid w:val="00EF45A8"/>
    <w:rsid w:val="00F01898"/>
    <w:rsid w:val="00F019AD"/>
    <w:rsid w:val="00F01A64"/>
    <w:rsid w:val="00F03F12"/>
    <w:rsid w:val="00F046EE"/>
    <w:rsid w:val="00F07980"/>
    <w:rsid w:val="00F07E69"/>
    <w:rsid w:val="00F14419"/>
    <w:rsid w:val="00F161F0"/>
    <w:rsid w:val="00F20EA6"/>
    <w:rsid w:val="00F24554"/>
    <w:rsid w:val="00F3621A"/>
    <w:rsid w:val="00F370DE"/>
    <w:rsid w:val="00F37CA3"/>
    <w:rsid w:val="00F37D3C"/>
    <w:rsid w:val="00F417A1"/>
    <w:rsid w:val="00F430C4"/>
    <w:rsid w:val="00F44FE6"/>
    <w:rsid w:val="00F45B0F"/>
    <w:rsid w:val="00F5295A"/>
    <w:rsid w:val="00F54C4C"/>
    <w:rsid w:val="00F57E08"/>
    <w:rsid w:val="00F610F0"/>
    <w:rsid w:val="00F62D69"/>
    <w:rsid w:val="00F62FED"/>
    <w:rsid w:val="00F63FF2"/>
    <w:rsid w:val="00F64D4E"/>
    <w:rsid w:val="00F7328B"/>
    <w:rsid w:val="00F766E5"/>
    <w:rsid w:val="00F7749D"/>
    <w:rsid w:val="00F81837"/>
    <w:rsid w:val="00F85C21"/>
    <w:rsid w:val="00F86868"/>
    <w:rsid w:val="00F90AF7"/>
    <w:rsid w:val="00F91449"/>
    <w:rsid w:val="00F92C50"/>
    <w:rsid w:val="00FA1C35"/>
    <w:rsid w:val="00FA36C9"/>
    <w:rsid w:val="00FA45B1"/>
    <w:rsid w:val="00FA5177"/>
    <w:rsid w:val="00FA5F14"/>
    <w:rsid w:val="00FB2209"/>
    <w:rsid w:val="00FB54BB"/>
    <w:rsid w:val="00FB5CE3"/>
    <w:rsid w:val="00FC01A1"/>
    <w:rsid w:val="00FC176D"/>
    <w:rsid w:val="00FC27AC"/>
    <w:rsid w:val="00FC73FC"/>
    <w:rsid w:val="00FD37A6"/>
    <w:rsid w:val="00FD3A01"/>
    <w:rsid w:val="00FD40AB"/>
    <w:rsid w:val="00FD4E5D"/>
    <w:rsid w:val="00FD6D5A"/>
    <w:rsid w:val="00FE4220"/>
    <w:rsid w:val="00FE43B3"/>
    <w:rsid w:val="00FE4EB3"/>
    <w:rsid w:val="00FE5CA2"/>
    <w:rsid w:val="00FE695A"/>
    <w:rsid w:val="00FE7C91"/>
    <w:rsid w:val="00FE7CA6"/>
    <w:rsid w:val="00FF4445"/>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09"/>
    <w:pPr>
      <w:spacing w:after="200" w:line="276" w:lineRule="auto"/>
    </w:pPr>
    <w:rPr>
      <w:sz w:val="22"/>
      <w:szCs w:val="22"/>
    </w:rPr>
  </w:style>
  <w:style w:type="paragraph" w:styleId="Heading1">
    <w:name w:val="heading 1"/>
    <w:basedOn w:val="Normal"/>
    <w:next w:val="Normal"/>
    <w:link w:val="Heading1Char"/>
    <w:uiPriority w:val="9"/>
    <w:qFormat/>
    <w:rsid w:val="009E2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34F1C"/>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4C"/>
    <w:pPr>
      <w:ind w:left="720"/>
      <w:contextualSpacing/>
    </w:pPr>
  </w:style>
  <w:style w:type="paragraph" w:customStyle="1" w:styleId="Pa1">
    <w:name w:val="Pa1"/>
    <w:basedOn w:val="Normal"/>
    <w:next w:val="Normal"/>
    <w:rsid w:val="00DF0213"/>
    <w:pPr>
      <w:autoSpaceDE w:val="0"/>
      <w:autoSpaceDN w:val="0"/>
      <w:adjustRightInd w:val="0"/>
      <w:spacing w:after="0" w:line="200" w:lineRule="atLeast"/>
    </w:pPr>
    <w:rPr>
      <w:rFonts w:ascii="Arial" w:hAnsi="Arial" w:cs="Arial"/>
      <w:sz w:val="24"/>
      <w:szCs w:val="24"/>
    </w:rPr>
  </w:style>
  <w:style w:type="character" w:customStyle="1" w:styleId="A4">
    <w:name w:val="A4"/>
    <w:rsid w:val="00DF0213"/>
    <w:rPr>
      <w:color w:val="000000"/>
      <w:sz w:val="22"/>
      <w:szCs w:val="22"/>
    </w:rPr>
  </w:style>
  <w:style w:type="paragraph" w:styleId="Footer">
    <w:name w:val="footer"/>
    <w:basedOn w:val="Normal"/>
    <w:link w:val="FooterChar"/>
    <w:uiPriority w:val="99"/>
    <w:rsid w:val="000C262D"/>
    <w:pPr>
      <w:tabs>
        <w:tab w:val="center" w:pos="4320"/>
        <w:tab w:val="right" w:pos="8640"/>
      </w:tabs>
    </w:pPr>
  </w:style>
  <w:style w:type="character" w:styleId="PageNumber">
    <w:name w:val="page number"/>
    <w:basedOn w:val="DefaultParagraphFont"/>
    <w:rsid w:val="000C262D"/>
  </w:style>
  <w:style w:type="paragraph" w:customStyle="1" w:styleId="Char">
    <w:name w:val="Char"/>
    <w:basedOn w:val="Normal"/>
    <w:rsid w:val="00D34F1C"/>
    <w:pPr>
      <w:spacing w:after="160" w:line="240" w:lineRule="exact"/>
    </w:pPr>
    <w:rPr>
      <w:rFonts w:ascii="Arial" w:eastAsia="Times New Roman" w:hAnsi="Arial" w:cs="Arial"/>
      <w:sz w:val="20"/>
      <w:szCs w:val="20"/>
      <w:lang w:val="en-GB"/>
    </w:rPr>
  </w:style>
  <w:style w:type="paragraph" w:customStyle="1" w:styleId="CAADPTitle01">
    <w:name w:val="CAADP Title01"/>
    <w:basedOn w:val="Normal"/>
    <w:rsid w:val="00D34F1C"/>
    <w:pPr>
      <w:keepNext/>
      <w:widowControl w:val="0"/>
      <w:numPr>
        <w:numId w:val="4"/>
      </w:numPr>
      <w:suppressAutoHyphens/>
      <w:spacing w:before="360" w:after="240" w:line="240" w:lineRule="auto"/>
      <w:jc w:val="center"/>
      <w:outlineLvl w:val="0"/>
    </w:pPr>
    <w:rPr>
      <w:rFonts w:ascii="Times New Roman Bold" w:eastAsia="Times New Roman" w:hAnsi="Times New Roman Bold" w:cs="Times New Roman Bold"/>
      <w:b/>
      <w:bCs/>
      <w:caps/>
      <w:spacing w:val="-3"/>
      <w:sz w:val="32"/>
      <w:szCs w:val="32"/>
      <w:lang w:val="en-GB"/>
    </w:rPr>
  </w:style>
  <w:style w:type="paragraph" w:customStyle="1" w:styleId="CAADPTitle02">
    <w:name w:val="CAADP Title02"/>
    <w:basedOn w:val="Heading2"/>
    <w:rsid w:val="00D34F1C"/>
    <w:pPr>
      <w:numPr>
        <w:ilvl w:val="1"/>
        <w:numId w:val="4"/>
      </w:numPr>
      <w:spacing w:before="120" w:after="240" w:line="240" w:lineRule="auto"/>
      <w:jc w:val="both"/>
    </w:pPr>
    <w:rPr>
      <w:rFonts w:ascii="Times New Roman Bold" w:eastAsia="PMingLiU" w:hAnsi="Times New Roman Bold" w:cs="Times New Roman Bold"/>
      <w:i w:val="0"/>
      <w:iCs w:val="0"/>
      <w:lang w:eastAsia="zh-TW"/>
    </w:rPr>
  </w:style>
  <w:style w:type="paragraph" w:customStyle="1" w:styleId="CAADPTitle03">
    <w:name w:val="CAADP Title03"/>
    <w:basedOn w:val="Heading2"/>
    <w:rsid w:val="00D34F1C"/>
    <w:pPr>
      <w:numPr>
        <w:ilvl w:val="2"/>
        <w:numId w:val="4"/>
      </w:numPr>
      <w:spacing w:before="120" w:after="240" w:line="240" w:lineRule="auto"/>
      <w:jc w:val="both"/>
      <w:outlineLvl w:val="2"/>
    </w:pPr>
    <w:rPr>
      <w:rFonts w:ascii="Times New Roman" w:eastAsia="PMingLiU" w:hAnsi="Times New Roman"/>
      <w:sz w:val="24"/>
      <w:szCs w:val="24"/>
      <w:lang w:val="en-GB" w:eastAsia="zh-TW"/>
    </w:rPr>
  </w:style>
  <w:style w:type="paragraph" w:customStyle="1" w:styleId="CAADPTitle04CharCharCharCharChar">
    <w:name w:val="CAADP Title04 Char Char Char Char Char"/>
    <w:basedOn w:val="Heading2"/>
    <w:link w:val="CAADPTitle04CharCharCharCharCharChar"/>
    <w:rsid w:val="00D34F1C"/>
    <w:pPr>
      <w:keepNext w:val="0"/>
      <w:numPr>
        <w:ilvl w:val="3"/>
        <w:numId w:val="4"/>
      </w:numPr>
      <w:spacing w:before="0" w:after="240" w:line="240" w:lineRule="auto"/>
      <w:jc w:val="both"/>
    </w:pPr>
    <w:rPr>
      <w:rFonts w:ascii="Times New Roman" w:eastAsia="PMingLiU" w:hAnsi="Times New Roman"/>
      <w:b w:val="0"/>
      <w:bCs w:val="0"/>
      <w:i w:val="0"/>
      <w:iCs w:val="0"/>
      <w:sz w:val="24"/>
      <w:szCs w:val="24"/>
      <w:lang w:val="en-GB" w:eastAsia="zh-TW"/>
    </w:rPr>
  </w:style>
  <w:style w:type="character" w:customStyle="1" w:styleId="CAADPTitle04CharCharCharCharCharChar">
    <w:name w:val="CAADP Title04 Char Char Char Char Char Char"/>
    <w:link w:val="CAADPTitle04CharCharCharCharChar"/>
    <w:rsid w:val="00D34F1C"/>
    <w:rPr>
      <w:rFonts w:ascii="Times New Roman" w:eastAsia="PMingLiU" w:hAnsi="Times New Roman"/>
      <w:sz w:val="24"/>
      <w:szCs w:val="24"/>
      <w:lang w:val="en-GB" w:eastAsia="zh-TW"/>
    </w:rPr>
  </w:style>
  <w:style w:type="paragraph" w:styleId="FootnoteText">
    <w:name w:val="footnote text"/>
    <w:aliases w:val="ft,single space,footnote text,Footnote Text Char2,Footnote Text Char1 Char1,Footnote Text Char Char Char1,Footnote Text Char1 Char Char,Footnote Text Char Char Char Char,Footnote Text Char Char1 Char,Footnote Text Char Char2,ALTS FOOTNOTE"/>
    <w:basedOn w:val="Normal"/>
    <w:link w:val="FootnoteTextChar"/>
    <w:uiPriority w:val="99"/>
    <w:rsid w:val="00D34F1C"/>
    <w:pPr>
      <w:spacing w:after="0" w:line="240" w:lineRule="auto"/>
    </w:pPr>
    <w:rPr>
      <w:rFonts w:ascii="Times New Roman" w:eastAsia="Times New Roman" w:hAnsi="Times New Roman"/>
      <w:sz w:val="20"/>
      <w:szCs w:val="20"/>
    </w:rPr>
  </w:style>
  <w:style w:type="character" w:styleId="FootnoteReference">
    <w:name w:val="footnote reference"/>
    <w:aliases w:val="ftref,note bp,16 Point,Superscript 6 Point, BVI fnr,Ref,de nota al pie,BVI fnr"/>
    <w:uiPriority w:val="99"/>
    <w:rsid w:val="00D34F1C"/>
    <w:rPr>
      <w:vertAlign w:val="superscript"/>
    </w:rPr>
  </w:style>
  <w:style w:type="paragraph" w:styleId="BodyText3">
    <w:name w:val="Body Text 3"/>
    <w:basedOn w:val="Normal"/>
    <w:rsid w:val="00C54AF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4E0A2F"/>
    <w:rPr>
      <w:sz w:val="16"/>
      <w:szCs w:val="16"/>
    </w:rPr>
  </w:style>
  <w:style w:type="paragraph" w:styleId="CommentText">
    <w:name w:val="annotation text"/>
    <w:basedOn w:val="Normal"/>
    <w:link w:val="CommentTextChar"/>
    <w:uiPriority w:val="99"/>
    <w:semiHidden/>
    <w:unhideWhenUsed/>
    <w:rsid w:val="004E0A2F"/>
    <w:rPr>
      <w:sz w:val="20"/>
      <w:szCs w:val="20"/>
    </w:rPr>
  </w:style>
  <w:style w:type="character" w:customStyle="1" w:styleId="CommentTextChar">
    <w:name w:val="Comment Text Char"/>
    <w:basedOn w:val="DefaultParagraphFont"/>
    <w:link w:val="CommentText"/>
    <w:uiPriority w:val="99"/>
    <w:semiHidden/>
    <w:rsid w:val="004E0A2F"/>
  </w:style>
  <w:style w:type="paragraph" w:styleId="CommentSubject">
    <w:name w:val="annotation subject"/>
    <w:basedOn w:val="CommentText"/>
    <w:next w:val="CommentText"/>
    <w:link w:val="CommentSubjectChar"/>
    <w:uiPriority w:val="99"/>
    <w:semiHidden/>
    <w:unhideWhenUsed/>
    <w:rsid w:val="004E0A2F"/>
    <w:rPr>
      <w:b/>
      <w:bCs/>
      <w:lang w:val="x-none" w:eastAsia="x-none"/>
    </w:rPr>
  </w:style>
  <w:style w:type="character" w:customStyle="1" w:styleId="CommentSubjectChar">
    <w:name w:val="Comment Subject Char"/>
    <w:link w:val="CommentSubject"/>
    <w:uiPriority w:val="99"/>
    <w:semiHidden/>
    <w:rsid w:val="004E0A2F"/>
    <w:rPr>
      <w:b/>
      <w:bCs/>
    </w:rPr>
  </w:style>
  <w:style w:type="paragraph" w:styleId="BalloonText">
    <w:name w:val="Balloon Text"/>
    <w:basedOn w:val="Normal"/>
    <w:link w:val="BalloonTextChar"/>
    <w:uiPriority w:val="99"/>
    <w:semiHidden/>
    <w:unhideWhenUsed/>
    <w:rsid w:val="004E0A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E0A2F"/>
    <w:rPr>
      <w:rFonts w:ascii="Tahoma" w:hAnsi="Tahoma" w:cs="Tahoma"/>
      <w:sz w:val="16"/>
      <w:szCs w:val="16"/>
    </w:rPr>
  </w:style>
  <w:style w:type="character" w:customStyle="1" w:styleId="Heading2Char">
    <w:name w:val="Heading 2 Char"/>
    <w:link w:val="Heading2"/>
    <w:rsid w:val="009920F8"/>
    <w:rPr>
      <w:rFonts w:ascii="Arial" w:hAnsi="Arial" w:cs="Arial"/>
      <w:b/>
      <w:bCs/>
      <w:i/>
      <w:iCs/>
      <w:sz w:val="28"/>
      <w:szCs w:val="28"/>
    </w:rPr>
  </w:style>
  <w:style w:type="paragraph" w:styleId="NoSpacing">
    <w:name w:val="No Spacing"/>
    <w:uiPriority w:val="1"/>
    <w:qFormat/>
    <w:rsid w:val="00C66017"/>
    <w:rPr>
      <w:sz w:val="22"/>
      <w:szCs w:val="22"/>
    </w:rPr>
  </w:style>
  <w:style w:type="paragraph" w:styleId="Header">
    <w:name w:val="header"/>
    <w:basedOn w:val="Normal"/>
    <w:link w:val="HeaderChar"/>
    <w:uiPriority w:val="99"/>
    <w:semiHidden/>
    <w:unhideWhenUsed/>
    <w:rsid w:val="00EB08D3"/>
    <w:pPr>
      <w:tabs>
        <w:tab w:val="center" w:pos="4680"/>
        <w:tab w:val="right" w:pos="9360"/>
      </w:tabs>
    </w:pPr>
  </w:style>
  <w:style w:type="character" w:customStyle="1" w:styleId="HeaderChar">
    <w:name w:val="Header Char"/>
    <w:basedOn w:val="DefaultParagraphFont"/>
    <w:link w:val="Header"/>
    <w:uiPriority w:val="99"/>
    <w:semiHidden/>
    <w:rsid w:val="00EB08D3"/>
    <w:rPr>
      <w:sz w:val="22"/>
      <w:szCs w:val="22"/>
    </w:rPr>
  </w:style>
  <w:style w:type="character" w:customStyle="1" w:styleId="FooterChar">
    <w:name w:val="Footer Char"/>
    <w:basedOn w:val="DefaultParagraphFont"/>
    <w:link w:val="Footer"/>
    <w:uiPriority w:val="99"/>
    <w:rsid w:val="00EB08D3"/>
    <w:rPr>
      <w:sz w:val="22"/>
      <w:szCs w:val="22"/>
    </w:rPr>
  </w:style>
  <w:style w:type="character" w:customStyle="1" w:styleId="Heading1Char">
    <w:name w:val="Heading 1 Char"/>
    <w:basedOn w:val="DefaultParagraphFont"/>
    <w:link w:val="Heading1"/>
    <w:uiPriority w:val="9"/>
    <w:rsid w:val="009E2E3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E2E38"/>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9E2E38"/>
    <w:pPr>
      <w:spacing w:after="100"/>
      <w:ind w:left="220"/>
    </w:pPr>
    <w:rPr>
      <w:rFonts w:eastAsia="Times New Roman"/>
    </w:rPr>
  </w:style>
  <w:style w:type="paragraph" w:styleId="TOC1">
    <w:name w:val="toc 1"/>
    <w:basedOn w:val="Normal"/>
    <w:next w:val="Normal"/>
    <w:autoRedefine/>
    <w:uiPriority w:val="39"/>
    <w:semiHidden/>
    <w:unhideWhenUsed/>
    <w:qFormat/>
    <w:rsid w:val="009E2E38"/>
    <w:pPr>
      <w:spacing w:after="100"/>
    </w:pPr>
    <w:rPr>
      <w:rFonts w:eastAsia="Times New Roman"/>
    </w:rPr>
  </w:style>
  <w:style w:type="paragraph" w:styleId="TOC3">
    <w:name w:val="toc 3"/>
    <w:basedOn w:val="Normal"/>
    <w:next w:val="Normal"/>
    <w:autoRedefine/>
    <w:uiPriority w:val="39"/>
    <w:semiHidden/>
    <w:unhideWhenUsed/>
    <w:qFormat/>
    <w:rsid w:val="009E2E38"/>
    <w:pPr>
      <w:spacing w:after="100"/>
      <w:ind w:left="440"/>
    </w:pPr>
    <w:rPr>
      <w:rFonts w:eastAsia="Times New Roman"/>
    </w:rPr>
  </w:style>
  <w:style w:type="character" w:customStyle="1" w:styleId="FootnoteTextChar">
    <w:name w:val="Footnote Text Char"/>
    <w:aliases w:val="ft Char,single space Char,footnote text Char,Footnote Text Char2 Char,Footnote Text Char1 Char1 Char,Footnote Text Char Char Char1 Char,Footnote Text Char1 Char Char Char,Footnote Text Char Char Char Char Char,ALTS FOOTNOTE Char"/>
    <w:basedOn w:val="DefaultParagraphFont"/>
    <w:link w:val="FootnoteText"/>
    <w:uiPriority w:val="99"/>
    <w:rsid w:val="0021570D"/>
    <w:rPr>
      <w:rFonts w:ascii="Times New Roman" w:eastAsia="Times New Roman" w:hAnsi="Times New Roman"/>
    </w:rPr>
  </w:style>
  <w:style w:type="character" w:customStyle="1" w:styleId="apple-converted-space">
    <w:name w:val="apple-converted-space"/>
    <w:basedOn w:val="DefaultParagraphFont"/>
    <w:rsid w:val="00F62FED"/>
  </w:style>
  <w:style w:type="character" w:styleId="Hyperlink">
    <w:name w:val="Hyperlink"/>
    <w:basedOn w:val="DefaultParagraphFont"/>
    <w:uiPriority w:val="99"/>
    <w:semiHidden/>
    <w:unhideWhenUsed/>
    <w:rsid w:val="00B2156F"/>
    <w:rPr>
      <w:color w:val="0000FF"/>
      <w:u w:val="single"/>
    </w:rPr>
  </w:style>
  <w:style w:type="character" w:customStyle="1" w:styleId="apple-style-span">
    <w:name w:val="apple-style-span"/>
    <w:basedOn w:val="DefaultParagraphFont"/>
    <w:rsid w:val="00EB58AB"/>
  </w:style>
  <w:style w:type="table" w:styleId="TableGrid">
    <w:name w:val="Table Grid"/>
    <w:basedOn w:val="TableNormal"/>
    <w:uiPriority w:val="59"/>
    <w:rsid w:val="00100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09"/>
    <w:pPr>
      <w:spacing w:after="200" w:line="276" w:lineRule="auto"/>
    </w:pPr>
    <w:rPr>
      <w:sz w:val="22"/>
      <w:szCs w:val="22"/>
    </w:rPr>
  </w:style>
  <w:style w:type="paragraph" w:styleId="Heading1">
    <w:name w:val="heading 1"/>
    <w:basedOn w:val="Normal"/>
    <w:next w:val="Normal"/>
    <w:link w:val="Heading1Char"/>
    <w:uiPriority w:val="9"/>
    <w:qFormat/>
    <w:rsid w:val="009E2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34F1C"/>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4C"/>
    <w:pPr>
      <w:ind w:left="720"/>
      <w:contextualSpacing/>
    </w:pPr>
  </w:style>
  <w:style w:type="paragraph" w:customStyle="1" w:styleId="Pa1">
    <w:name w:val="Pa1"/>
    <w:basedOn w:val="Normal"/>
    <w:next w:val="Normal"/>
    <w:rsid w:val="00DF0213"/>
    <w:pPr>
      <w:autoSpaceDE w:val="0"/>
      <w:autoSpaceDN w:val="0"/>
      <w:adjustRightInd w:val="0"/>
      <w:spacing w:after="0" w:line="200" w:lineRule="atLeast"/>
    </w:pPr>
    <w:rPr>
      <w:rFonts w:ascii="Arial" w:hAnsi="Arial" w:cs="Arial"/>
      <w:sz w:val="24"/>
      <w:szCs w:val="24"/>
    </w:rPr>
  </w:style>
  <w:style w:type="character" w:customStyle="1" w:styleId="A4">
    <w:name w:val="A4"/>
    <w:rsid w:val="00DF0213"/>
    <w:rPr>
      <w:color w:val="000000"/>
      <w:sz w:val="22"/>
      <w:szCs w:val="22"/>
    </w:rPr>
  </w:style>
  <w:style w:type="paragraph" w:styleId="Footer">
    <w:name w:val="footer"/>
    <w:basedOn w:val="Normal"/>
    <w:link w:val="FooterChar"/>
    <w:uiPriority w:val="99"/>
    <w:rsid w:val="000C262D"/>
    <w:pPr>
      <w:tabs>
        <w:tab w:val="center" w:pos="4320"/>
        <w:tab w:val="right" w:pos="8640"/>
      </w:tabs>
    </w:pPr>
  </w:style>
  <w:style w:type="character" w:styleId="PageNumber">
    <w:name w:val="page number"/>
    <w:basedOn w:val="DefaultParagraphFont"/>
    <w:rsid w:val="000C262D"/>
  </w:style>
  <w:style w:type="paragraph" w:customStyle="1" w:styleId="Char">
    <w:name w:val="Char"/>
    <w:basedOn w:val="Normal"/>
    <w:rsid w:val="00D34F1C"/>
    <w:pPr>
      <w:spacing w:after="160" w:line="240" w:lineRule="exact"/>
    </w:pPr>
    <w:rPr>
      <w:rFonts w:ascii="Arial" w:eastAsia="Times New Roman" w:hAnsi="Arial" w:cs="Arial"/>
      <w:sz w:val="20"/>
      <w:szCs w:val="20"/>
      <w:lang w:val="en-GB"/>
    </w:rPr>
  </w:style>
  <w:style w:type="paragraph" w:customStyle="1" w:styleId="CAADPTitle01">
    <w:name w:val="CAADP Title01"/>
    <w:basedOn w:val="Normal"/>
    <w:rsid w:val="00D34F1C"/>
    <w:pPr>
      <w:keepNext/>
      <w:widowControl w:val="0"/>
      <w:numPr>
        <w:numId w:val="4"/>
      </w:numPr>
      <w:suppressAutoHyphens/>
      <w:spacing w:before="360" w:after="240" w:line="240" w:lineRule="auto"/>
      <w:jc w:val="center"/>
      <w:outlineLvl w:val="0"/>
    </w:pPr>
    <w:rPr>
      <w:rFonts w:ascii="Times New Roman Bold" w:eastAsia="Times New Roman" w:hAnsi="Times New Roman Bold" w:cs="Times New Roman Bold"/>
      <w:b/>
      <w:bCs/>
      <w:caps/>
      <w:spacing w:val="-3"/>
      <w:sz w:val="32"/>
      <w:szCs w:val="32"/>
      <w:lang w:val="en-GB"/>
    </w:rPr>
  </w:style>
  <w:style w:type="paragraph" w:customStyle="1" w:styleId="CAADPTitle02">
    <w:name w:val="CAADP Title02"/>
    <w:basedOn w:val="Heading2"/>
    <w:rsid w:val="00D34F1C"/>
    <w:pPr>
      <w:numPr>
        <w:ilvl w:val="1"/>
        <w:numId w:val="4"/>
      </w:numPr>
      <w:spacing w:before="120" w:after="240" w:line="240" w:lineRule="auto"/>
      <w:jc w:val="both"/>
    </w:pPr>
    <w:rPr>
      <w:rFonts w:ascii="Times New Roman Bold" w:eastAsia="PMingLiU" w:hAnsi="Times New Roman Bold" w:cs="Times New Roman Bold"/>
      <w:i w:val="0"/>
      <w:iCs w:val="0"/>
      <w:lang w:eastAsia="zh-TW"/>
    </w:rPr>
  </w:style>
  <w:style w:type="paragraph" w:customStyle="1" w:styleId="CAADPTitle03">
    <w:name w:val="CAADP Title03"/>
    <w:basedOn w:val="Heading2"/>
    <w:rsid w:val="00D34F1C"/>
    <w:pPr>
      <w:numPr>
        <w:ilvl w:val="2"/>
        <w:numId w:val="4"/>
      </w:numPr>
      <w:spacing w:before="120" w:after="240" w:line="240" w:lineRule="auto"/>
      <w:jc w:val="both"/>
      <w:outlineLvl w:val="2"/>
    </w:pPr>
    <w:rPr>
      <w:rFonts w:ascii="Times New Roman" w:eastAsia="PMingLiU" w:hAnsi="Times New Roman"/>
      <w:sz w:val="24"/>
      <w:szCs w:val="24"/>
      <w:lang w:val="en-GB" w:eastAsia="zh-TW"/>
    </w:rPr>
  </w:style>
  <w:style w:type="paragraph" w:customStyle="1" w:styleId="CAADPTitle04CharCharCharCharChar">
    <w:name w:val="CAADP Title04 Char Char Char Char Char"/>
    <w:basedOn w:val="Heading2"/>
    <w:link w:val="CAADPTitle04CharCharCharCharCharChar"/>
    <w:rsid w:val="00D34F1C"/>
    <w:pPr>
      <w:keepNext w:val="0"/>
      <w:numPr>
        <w:ilvl w:val="3"/>
        <w:numId w:val="4"/>
      </w:numPr>
      <w:spacing w:before="0" w:after="240" w:line="240" w:lineRule="auto"/>
      <w:jc w:val="both"/>
    </w:pPr>
    <w:rPr>
      <w:rFonts w:ascii="Times New Roman" w:eastAsia="PMingLiU" w:hAnsi="Times New Roman"/>
      <w:b w:val="0"/>
      <w:bCs w:val="0"/>
      <w:i w:val="0"/>
      <w:iCs w:val="0"/>
      <w:sz w:val="24"/>
      <w:szCs w:val="24"/>
      <w:lang w:val="en-GB" w:eastAsia="zh-TW"/>
    </w:rPr>
  </w:style>
  <w:style w:type="character" w:customStyle="1" w:styleId="CAADPTitle04CharCharCharCharCharChar">
    <w:name w:val="CAADP Title04 Char Char Char Char Char Char"/>
    <w:link w:val="CAADPTitle04CharCharCharCharChar"/>
    <w:rsid w:val="00D34F1C"/>
    <w:rPr>
      <w:rFonts w:ascii="Times New Roman" w:eastAsia="PMingLiU" w:hAnsi="Times New Roman"/>
      <w:sz w:val="24"/>
      <w:szCs w:val="24"/>
      <w:lang w:val="en-GB" w:eastAsia="zh-TW"/>
    </w:rPr>
  </w:style>
  <w:style w:type="paragraph" w:styleId="FootnoteText">
    <w:name w:val="footnote text"/>
    <w:aliases w:val="ft,single space,footnote text,Footnote Text Char2,Footnote Text Char1 Char1,Footnote Text Char Char Char1,Footnote Text Char1 Char Char,Footnote Text Char Char Char Char,Footnote Text Char Char1 Char,Footnote Text Char Char2,ALTS FOOTNOTE"/>
    <w:basedOn w:val="Normal"/>
    <w:link w:val="FootnoteTextChar"/>
    <w:uiPriority w:val="99"/>
    <w:rsid w:val="00D34F1C"/>
    <w:pPr>
      <w:spacing w:after="0" w:line="240" w:lineRule="auto"/>
    </w:pPr>
    <w:rPr>
      <w:rFonts w:ascii="Times New Roman" w:eastAsia="Times New Roman" w:hAnsi="Times New Roman"/>
      <w:sz w:val="20"/>
      <w:szCs w:val="20"/>
    </w:rPr>
  </w:style>
  <w:style w:type="character" w:styleId="FootnoteReference">
    <w:name w:val="footnote reference"/>
    <w:aliases w:val="ftref,note bp,16 Point,Superscript 6 Point, BVI fnr,Ref,de nota al pie,BVI fnr"/>
    <w:uiPriority w:val="99"/>
    <w:rsid w:val="00D34F1C"/>
    <w:rPr>
      <w:vertAlign w:val="superscript"/>
    </w:rPr>
  </w:style>
  <w:style w:type="paragraph" w:styleId="BodyText3">
    <w:name w:val="Body Text 3"/>
    <w:basedOn w:val="Normal"/>
    <w:rsid w:val="00C54AFE"/>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4E0A2F"/>
    <w:rPr>
      <w:sz w:val="16"/>
      <w:szCs w:val="16"/>
    </w:rPr>
  </w:style>
  <w:style w:type="paragraph" w:styleId="CommentText">
    <w:name w:val="annotation text"/>
    <w:basedOn w:val="Normal"/>
    <w:link w:val="CommentTextChar"/>
    <w:uiPriority w:val="99"/>
    <w:semiHidden/>
    <w:unhideWhenUsed/>
    <w:rsid w:val="004E0A2F"/>
    <w:rPr>
      <w:sz w:val="20"/>
      <w:szCs w:val="20"/>
    </w:rPr>
  </w:style>
  <w:style w:type="character" w:customStyle="1" w:styleId="CommentTextChar">
    <w:name w:val="Comment Text Char"/>
    <w:basedOn w:val="DefaultParagraphFont"/>
    <w:link w:val="CommentText"/>
    <w:uiPriority w:val="99"/>
    <w:semiHidden/>
    <w:rsid w:val="004E0A2F"/>
  </w:style>
  <w:style w:type="paragraph" w:styleId="CommentSubject">
    <w:name w:val="annotation subject"/>
    <w:basedOn w:val="CommentText"/>
    <w:next w:val="CommentText"/>
    <w:link w:val="CommentSubjectChar"/>
    <w:uiPriority w:val="99"/>
    <w:semiHidden/>
    <w:unhideWhenUsed/>
    <w:rsid w:val="004E0A2F"/>
    <w:rPr>
      <w:b/>
      <w:bCs/>
      <w:lang w:val="x-none" w:eastAsia="x-none"/>
    </w:rPr>
  </w:style>
  <w:style w:type="character" w:customStyle="1" w:styleId="CommentSubjectChar">
    <w:name w:val="Comment Subject Char"/>
    <w:link w:val="CommentSubject"/>
    <w:uiPriority w:val="99"/>
    <w:semiHidden/>
    <w:rsid w:val="004E0A2F"/>
    <w:rPr>
      <w:b/>
      <w:bCs/>
    </w:rPr>
  </w:style>
  <w:style w:type="paragraph" w:styleId="BalloonText">
    <w:name w:val="Balloon Text"/>
    <w:basedOn w:val="Normal"/>
    <w:link w:val="BalloonTextChar"/>
    <w:uiPriority w:val="99"/>
    <w:semiHidden/>
    <w:unhideWhenUsed/>
    <w:rsid w:val="004E0A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E0A2F"/>
    <w:rPr>
      <w:rFonts w:ascii="Tahoma" w:hAnsi="Tahoma" w:cs="Tahoma"/>
      <w:sz w:val="16"/>
      <w:szCs w:val="16"/>
    </w:rPr>
  </w:style>
  <w:style w:type="character" w:customStyle="1" w:styleId="Heading2Char">
    <w:name w:val="Heading 2 Char"/>
    <w:link w:val="Heading2"/>
    <w:rsid w:val="009920F8"/>
    <w:rPr>
      <w:rFonts w:ascii="Arial" w:hAnsi="Arial" w:cs="Arial"/>
      <w:b/>
      <w:bCs/>
      <w:i/>
      <w:iCs/>
      <w:sz w:val="28"/>
      <w:szCs w:val="28"/>
    </w:rPr>
  </w:style>
  <w:style w:type="paragraph" w:styleId="NoSpacing">
    <w:name w:val="No Spacing"/>
    <w:uiPriority w:val="1"/>
    <w:qFormat/>
    <w:rsid w:val="00C66017"/>
    <w:rPr>
      <w:sz w:val="22"/>
      <w:szCs w:val="22"/>
    </w:rPr>
  </w:style>
  <w:style w:type="paragraph" w:styleId="Header">
    <w:name w:val="header"/>
    <w:basedOn w:val="Normal"/>
    <w:link w:val="HeaderChar"/>
    <w:uiPriority w:val="99"/>
    <w:semiHidden/>
    <w:unhideWhenUsed/>
    <w:rsid w:val="00EB08D3"/>
    <w:pPr>
      <w:tabs>
        <w:tab w:val="center" w:pos="4680"/>
        <w:tab w:val="right" w:pos="9360"/>
      </w:tabs>
    </w:pPr>
  </w:style>
  <w:style w:type="character" w:customStyle="1" w:styleId="HeaderChar">
    <w:name w:val="Header Char"/>
    <w:basedOn w:val="DefaultParagraphFont"/>
    <w:link w:val="Header"/>
    <w:uiPriority w:val="99"/>
    <w:semiHidden/>
    <w:rsid w:val="00EB08D3"/>
    <w:rPr>
      <w:sz w:val="22"/>
      <w:szCs w:val="22"/>
    </w:rPr>
  </w:style>
  <w:style w:type="character" w:customStyle="1" w:styleId="FooterChar">
    <w:name w:val="Footer Char"/>
    <w:basedOn w:val="DefaultParagraphFont"/>
    <w:link w:val="Footer"/>
    <w:uiPriority w:val="99"/>
    <w:rsid w:val="00EB08D3"/>
    <w:rPr>
      <w:sz w:val="22"/>
      <w:szCs w:val="22"/>
    </w:rPr>
  </w:style>
  <w:style w:type="character" w:customStyle="1" w:styleId="Heading1Char">
    <w:name w:val="Heading 1 Char"/>
    <w:basedOn w:val="DefaultParagraphFont"/>
    <w:link w:val="Heading1"/>
    <w:uiPriority w:val="9"/>
    <w:rsid w:val="009E2E3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E2E38"/>
    <w:pPr>
      <w:keepLines/>
      <w:spacing w:before="480" w:after="0"/>
      <w:outlineLvl w:val="9"/>
    </w:pPr>
    <w:rPr>
      <w:color w:val="365F91"/>
      <w:kern w:val="0"/>
      <w:sz w:val="28"/>
      <w:szCs w:val="28"/>
    </w:rPr>
  </w:style>
  <w:style w:type="paragraph" w:styleId="TOC2">
    <w:name w:val="toc 2"/>
    <w:basedOn w:val="Normal"/>
    <w:next w:val="Normal"/>
    <w:autoRedefine/>
    <w:uiPriority w:val="39"/>
    <w:semiHidden/>
    <w:unhideWhenUsed/>
    <w:qFormat/>
    <w:rsid w:val="009E2E38"/>
    <w:pPr>
      <w:spacing w:after="100"/>
      <w:ind w:left="220"/>
    </w:pPr>
    <w:rPr>
      <w:rFonts w:eastAsia="Times New Roman"/>
    </w:rPr>
  </w:style>
  <w:style w:type="paragraph" w:styleId="TOC1">
    <w:name w:val="toc 1"/>
    <w:basedOn w:val="Normal"/>
    <w:next w:val="Normal"/>
    <w:autoRedefine/>
    <w:uiPriority w:val="39"/>
    <w:semiHidden/>
    <w:unhideWhenUsed/>
    <w:qFormat/>
    <w:rsid w:val="009E2E38"/>
    <w:pPr>
      <w:spacing w:after="100"/>
    </w:pPr>
    <w:rPr>
      <w:rFonts w:eastAsia="Times New Roman"/>
    </w:rPr>
  </w:style>
  <w:style w:type="paragraph" w:styleId="TOC3">
    <w:name w:val="toc 3"/>
    <w:basedOn w:val="Normal"/>
    <w:next w:val="Normal"/>
    <w:autoRedefine/>
    <w:uiPriority w:val="39"/>
    <w:semiHidden/>
    <w:unhideWhenUsed/>
    <w:qFormat/>
    <w:rsid w:val="009E2E38"/>
    <w:pPr>
      <w:spacing w:after="100"/>
      <w:ind w:left="440"/>
    </w:pPr>
    <w:rPr>
      <w:rFonts w:eastAsia="Times New Roman"/>
    </w:rPr>
  </w:style>
  <w:style w:type="character" w:customStyle="1" w:styleId="FootnoteTextChar">
    <w:name w:val="Footnote Text Char"/>
    <w:aliases w:val="ft Char,single space Char,footnote text Char,Footnote Text Char2 Char,Footnote Text Char1 Char1 Char,Footnote Text Char Char Char1 Char,Footnote Text Char1 Char Char Char,Footnote Text Char Char Char Char Char,ALTS FOOTNOTE Char"/>
    <w:basedOn w:val="DefaultParagraphFont"/>
    <w:link w:val="FootnoteText"/>
    <w:uiPriority w:val="99"/>
    <w:rsid w:val="0021570D"/>
    <w:rPr>
      <w:rFonts w:ascii="Times New Roman" w:eastAsia="Times New Roman" w:hAnsi="Times New Roman"/>
    </w:rPr>
  </w:style>
  <w:style w:type="character" w:customStyle="1" w:styleId="apple-converted-space">
    <w:name w:val="apple-converted-space"/>
    <w:basedOn w:val="DefaultParagraphFont"/>
    <w:rsid w:val="00F62FED"/>
  </w:style>
  <w:style w:type="character" w:styleId="Hyperlink">
    <w:name w:val="Hyperlink"/>
    <w:basedOn w:val="DefaultParagraphFont"/>
    <w:uiPriority w:val="99"/>
    <w:semiHidden/>
    <w:unhideWhenUsed/>
    <w:rsid w:val="00B2156F"/>
    <w:rPr>
      <w:color w:val="0000FF"/>
      <w:u w:val="single"/>
    </w:rPr>
  </w:style>
  <w:style w:type="character" w:customStyle="1" w:styleId="apple-style-span">
    <w:name w:val="apple-style-span"/>
    <w:basedOn w:val="DefaultParagraphFont"/>
    <w:rsid w:val="00EB58AB"/>
  </w:style>
  <w:style w:type="table" w:styleId="TableGrid">
    <w:name w:val="Table Grid"/>
    <w:basedOn w:val="TableNormal"/>
    <w:uiPriority w:val="59"/>
    <w:rsid w:val="00100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1424">
      <w:bodyDiv w:val="1"/>
      <w:marLeft w:val="0"/>
      <w:marRight w:val="0"/>
      <w:marTop w:val="0"/>
      <w:marBottom w:val="0"/>
      <w:divBdr>
        <w:top w:val="none" w:sz="0" w:space="0" w:color="auto"/>
        <w:left w:val="none" w:sz="0" w:space="0" w:color="auto"/>
        <w:bottom w:val="none" w:sz="0" w:space="0" w:color="auto"/>
        <w:right w:val="none" w:sz="0" w:space="0" w:color="auto"/>
      </w:divBdr>
    </w:div>
    <w:div w:id="2712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94B9B-0BEE-476E-88D9-F1349AB5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6425</Words>
  <Characters>37978</Characters>
  <Application>Microsoft Office Word</Application>
  <DocSecurity>0</DocSecurity>
  <Lines>999</Lines>
  <Paragraphs>403</Paragraphs>
  <ScaleCrop>false</ScaleCrop>
  <HeadingPairs>
    <vt:vector size="2" baseType="variant">
      <vt:variant>
        <vt:lpstr>Title</vt:lpstr>
      </vt:variant>
      <vt:variant>
        <vt:i4>1</vt:i4>
      </vt:variant>
    </vt:vector>
  </HeadingPairs>
  <TitlesOfParts>
    <vt:vector size="1" baseType="lpstr">
      <vt:lpstr>Draft</vt:lpstr>
    </vt:vector>
  </TitlesOfParts>
  <Company>Toshiba</Company>
  <LinksUpToDate>false</LinksUpToDate>
  <CharactersWithSpaces>44000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Dr. Vickie Sigman</dc:creator>
  <cp:lastModifiedBy>abohn</cp:lastModifiedBy>
  <cp:revision>2</cp:revision>
  <cp:lastPrinted>2012-06-29T02:56:00Z</cp:lastPrinted>
  <dcterms:created xsi:type="dcterms:W3CDTF">2012-10-08T16:56:00Z</dcterms:created>
  <dcterms:modified xsi:type="dcterms:W3CDTF">2012-10-08T16:56:00Z</dcterms:modified>
</cp:coreProperties>
</file>